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02" w:rsidRDefault="008C0902" w:rsidP="008C0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8C0902" w:rsidRDefault="008C0902" w:rsidP="008C0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EA2F15">
        <w:rPr>
          <w:rFonts w:ascii="Times New Roman" w:hAnsi="Times New Roman"/>
          <w:b/>
          <w:sz w:val="28"/>
          <w:szCs w:val="28"/>
          <w:lang w:val="en-US"/>
        </w:rPr>
        <w:t>Human Rights Law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8C0902" w:rsidRDefault="008C0902" w:rsidP="008C09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C0902"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6-05-0421-03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 w:rsidP="00970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 w:rsidP="00970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02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 w:rsidP="00970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0902" w:rsidTr="008C090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8C0902" w:rsidRDefault="008C0902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8C0902" w:rsidRDefault="008C090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 w:rsidP="00970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0902" w:rsidTr="008C0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C0902" w:rsidTr="008C0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C0902" w:rsidTr="008C0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8C0902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0902" w:rsidRPr="00EC3366" w:rsidTr="008C090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Pr="008C0902" w:rsidRDefault="008C0902" w:rsidP="008C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3366">
              <w:rPr>
                <w:rFonts w:ascii="Times New Roman" w:hAnsi="Times New Roman"/>
                <w:sz w:val="28"/>
                <w:szCs w:val="28"/>
                <w:lang w:val="en-US"/>
              </w:rPr>
              <w:t>SC-6. Analyze relationships in the system of man – society – state, use normative legal acts in the field of human rights in practice</w:t>
            </w:r>
          </w:p>
        </w:tc>
      </w:tr>
      <w:tr w:rsidR="008C0902" w:rsidRPr="00EC3366" w:rsidTr="008C090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02" w:rsidRDefault="008C0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1. Formation and development of the concept of human rights and freedoms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2. International system of protection of human rights and fundamental freedoms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3. Individual, society, state: mutual rights, freedoms and duties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4. Constitutional principles of rights and fundamental freedoms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5. Legal regulation of civil, political, social, economic rights and freedoms, rights and freedoms in the field of culture in the Republic of Belarus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6. Institutional system of protection of human rights and freedoms in the Republic of Belarus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7. Legal forms of protection of human rights in the Republic of Belarus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8. Legal support for the protection of rights and freedoms of individual social groups </w:t>
            </w:r>
          </w:p>
          <w:p w:rsidR="008C0902" w:rsidRPr="00EC3366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EC3366">
              <w:rPr>
                <w:bCs/>
                <w:lang w:val="en-US"/>
              </w:rPr>
              <w:t xml:space="preserve">Topic 9. Responsibility for violations of human rights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The purpose of the academic discipline </w:t>
            </w:r>
            <w:r>
              <w:rPr>
                <w:bCs/>
                <w:lang w:val="en-US"/>
              </w:rPr>
              <w:t>“</w:t>
            </w:r>
            <w:r w:rsidRPr="008C0902">
              <w:rPr>
                <w:bCs/>
                <w:lang w:val="en-US"/>
              </w:rPr>
              <w:t>Human Rights Law</w:t>
            </w:r>
            <w:r>
              <w:rPr>
                <w:bCs/>
                <w:lang w:val="en-US"/>
              </w:rPr>
              <w:t>” is</w:t>
            </w:r>
            <w:r w:rsidRPr="008C0902">
              <w:rPr>
                <w:bCs/>
                <w:lang w:val="en-US"/>
              </w:rPr>
              <w:t xml:space="preserve"> obtaining a set of theoretical knowledge and practical skills in the discipline </w:t>
            </w:r>
            <w:r>
              <w:rPr>
                <w:bCs/>
                <w:lang w:val="en-US"/>
              </w:rPr>
              <w:t>“</w:t>
            </w:r>
            <w:r w:rsidRPr="008C0902">
              <w:rPr>
                <w:bCs/>
                <w:lang w:val="en-US"/>
              </w:rPr>
              <w:t>Human Rights Law</w:t>
            </w:r>
            <w:r>
              <w:rPr>
                <w:bCs/>
                <w:lang w:val="en-US"/>
              </w:rPr>
              <w:t>”</w:t>
            </w:r>
            <w:r w:rsidRPr="008C0902">
              <w:rPr>
                <w:bCs/>
                <w:lang w:val="en-US"/>
              </w:rPr>
              <w:t xml:space="preserve">, and forming on this basis knowledge that human rights, the mechanisms of their legal regulation and protection represent the most significant trends in the system of world values ​​and the foundations of the constitutional system of any state.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o</w:t>
            </w:r>
            <w:r w:rsidRPr="008C0902">
              <w:rPr>
                <w:bCs/>
                <w:lang w:val="en-US"/>
              </w:rPr>
              <w:t xml:space="preserve">bjectives of the academic discipline: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study of the subject and objectives of the course </w:t>
            </w:r>
            <w:r>
              <w:rPr>
                <w:bCs/>
                <w:lang w:val="en-US"/>
              </w:rPr>
              <w:t>“</w:t>
            </w:r>
            <w:r w:rsidRPr="008C0902">
              <w:rPr>
                <w:bCs/>
                <w:lang w:val="en-US"/>
              </w:rPr>
              <w:t>Human Rights Law</w:t>
            </w:r>
            <w:r>
              <w:rPr>
                <w:bCs/>
                <w:lang w:val="en-US"/>
              </w:rPr>
              <w:t>”</w:t>
            </w:r>
            <w:r w:rsidRPr="008C0902">
              <w:rPr>
                <w:bCs/>
                <w:lang w:val="en-US"/>
              </w:rPr>
              <w:t xml:space="preserve">, as well as modern scientific concepts of human and civil rights;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analysis of the typology and types of rights, freedoms and duties of man and citizen;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study of international standards in the field of fundamental human rights and freedoms;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development of basic theoretical calculations regarding the universal mechanism of international protection of human rights and freedoms; </w:t>
            </w:r>
          </w:p>
          <w:p w:rsid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assimilation of legal regulation and protection of the rights and freedoms of individual social groups; </w:t>
            </w:r>
          </w:p>
          <w:p w:rsidR="008C0902" w:rsidRPr="008C0902" w:rsidRDefault="008C0902" w:rsidP="008C0902">
            <w:pPr>
              <w:pStyle w:val="ac"/>
              <w:spacing w:before="0" w:beforeAutospacing="0" w:after="0" w:afterAutospacing="0"/>
              <w:ind w:firstLine="567"/>
              <w:jc w:val="both"/>
              <w:rPr>
                <w:bCs/>
                <w:lang w:val="en-US"/>
              </w:rPr>
            </w:pPr>
            <w:r w:rsidRPr="008C0902">
              <w:rPr>
                <w:bCs/>
                <w:lang w:val="en-US"/>
              </w:rPr>
              <w:t xml:space="preserve">- </w:t>
            </w:r>
            <w:proofErr w:type="gramStart"/>
            <w:r w:rsidRPr="008C0902">
              <w:rPr>
                <w:bCs/>
                <w:lang w:val="en-US"/>
              </w:rPr>
              <w:t>analysis</w:t>
            </w:r>
            <w:proofErr w:type="gramEnd"/>
            <w:r w:rsidRPr="008C0902">
              <w:rPr>
                <w:bCs/>
                <w:lang w:val="en-US"/>
              </w:rPr>
              <w:t xml:space="preserve"> of the national system of human rights protection in the Republic of Belarus.</w:t>
            </w:r>
          </w:p>
        </w:tc>
      </w:tr>
    </w:tbl>
    <w:p w:rsidR="002B068D" w:rsidRPr="008C0902" w:rsidRDefault="002B068D" w:rsidP="00F43BB6">
      <w:pPr>
        <w:spacing w:after="0" w:line="240" w:lineRule="auto"/>
        <w:rPr>
          <w:sz w:val="24"/>
          <w:szCs w:val="24"/>
          <w:lang w:val="en-US"/>
        </w:rPr>
      </w:pPr>
    </w:p>
    <w:p w:rsidR="004427AD" w:rsidRPr="008C0902" w:rsidRDefault="004427AD" w:rsidP="00F43BB6">
      <w:pPr>
        <w:spacing w:after="0" w:line="240" w:lineRule="auto"/>
        <w:rPr>
          <w:sz w:val="24"/>
          <w:szCs w:val="24"/>
          <w:lang w:val="en-US"/>
        </w:rPr>
      </w:pPr>
    </w:p>
    <w:sectPr w:rsidR="004427AD" w:rsidRPr="008C0902" w:rsidSect="00F4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8D"/>
    <w:rsid w:val="0007608C"/>
    <w:rsid w:val="0013142E"/>
    <w:rsid w:val="00255589"/>
    <w:rsid w:val="002B068D"/>
    <w:rsid w:val="00334587"/>
    <w:rsid w:val="00343CC4"/>
    <w:rsid w:val="003B683D"/>
    <w:rsid w:val="004427AD"/>
    <w:rsid w:val="008C0902"/>
    <w:rsid w:val="008C62A8"/>
    <w:rsid w:val="00C56EFA"/>
    <w:rsid w:val="00EA2F15"/>
    <w:rsid w:val="00EC3366"/>
    <w:rsid w:val="00F4088A"/>
    <w:rsid w:val="00F4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8D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B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6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6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68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2B0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68D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2B06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2B06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68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B0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902"/>
    <w:rPr>
      <w:b/>
      <w:bCs/>
    </w:rPr>
  </w:style>
  <w:style w:type="character" w:customStyle="1" w:styleId="rynqvb">
    <w:name w:val="rynqvb"/>
    <w:basedOn w:val="a0"/>
    <w:rsid w:val="008C0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8D"/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B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6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6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68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2B0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68D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2B06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2B06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68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B0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902"/>
    <w:rPr>
      <w:b/>
      <w:bCs/>
    </w:rPr>
  </w:style>
  <w:style w:type="character" w:customStyle="1" w:styleId="rynqvb">
    <w:name w:val="rynqvb"/>
    <w:basedOn w:val="a0"/>
    <w:rsid w:val="008C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2025-07-21T11:44:00Z</dcterms:created>
  <dcterms:modified xsi:type="dcterms:W3CDTF">2025-07-21T11:44:00Z</dcterms:modified>
</cp:coreProperties>
</file>