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BB0" w:rsidRPr="00717985" w:rsidRDefault="00E51D84" w:rsidP="00AB1D91">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w:t>
      </w:r>
      <w:r w:rsidR="00571BB0" w:rsidRPr="00717985">
        <w:rPr>
          <w:rFonts w:ascii="Times New Roman" w:hAnsi="Times New Roman" w:cs="Times New Roman"/>
          <w:b/>
          <w:sz w:val="28"/>
          <w:szCs w:val="28"/>
          <w:lang w:val="en-US"/>
        </w:rPr>
        <w:t>ame of the academic discipline:</w:t>
      </w:r>
    </w:p>
    <w:p w:rsidR="00571BB0" w:rsidRPr="00E51D84" w:rsidRDefault="00E51D84" w:rsidP="00571BB0">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proofErr w:type="spellStart"/>
      <w:r w:rsidR="00571BB0" w:rsidRPr="00717985">
        <w:rPr>
          <w:rFonts w:ascii="Times New Roman" w:hAnsi="Times New Roman" w:cs="Times New Roman"/>
          <w:b/>
          <w:sz w:val="28"/>
          <w:szCs w:val="28"/>
        </w:rPr>
        <w:t>Information</w:t>
      </w:r>
      <w:proofErr w:type="spellEnd"/>
      <w:r w:rsidR="00571BB0" w:rsidRPr="00717985">
        <w:rPr>
          <w:rFonts w:ascii="Times New Roman" w:hAnsi="Times New Roman" w:cs="Times New Roman"/>
          <w:b/>
          <w:sz w:val="28"/>
          <w:szCs w:val="28"/>
        </w:rPr>
        <w:t xml:space="preserve"> </w:t>
      </w:r>
      <w:r>
        <w:rPr>
          <w:rFonts w:ascii="Times New Roman" w:hAnsi="Times New Roman" w:cs="Times New Roman"/>
          <w:b/>
          <w:sz w:val="28"/>
          <w:szCs w:val="28"/>
          <w:lang w:val="en-US"/>
        </w:rPr>
        <w:t>L</w:t>
      </w:r>
      <w:proofErr w:type="spellStart"/>
      <w:r w:rsidR="00571BB0" w:rsidRPr="00717985">
        <w:rPr>
          <w:rFonts w:ascii="Times New Roman" w:hAnsi="Times New Roman" w:cs="Times New Roman"/>
          <w:b/>
          <w:sz w:val="28"/>
          <w:szCs w:val="28"/>
        </w:rPr>
        <w:t>aw</w:t>
      </w:r>
      <w:bookmarkEnd w:id="0"/>
      <w:proofErr w:type="spellEnd"/>
      <w:r>
        <w:rPr>
          <w:rFonts w:ascii="Times New Roman" w:hAnsi="Times New Roman" w:cs="Times New Roman"/>
          <w:b/>
          <w:sz w:val="28"/>
          <w:szCs w:val="28"/>
          <w:lang w:val="en-US"/>
        </w:rPr>
        <w:t>”</w:t>
      </w:r>
    </w:p>
    <w:p w:rsidR="00571BB0" w:rsidRPr="00571BB0" w:rsidRDefault="00571BB0" w:rsidP="00571BB0">
      <w:pPr>
        <w:spacing w:after="0" w:line="240" w:lineRule="auto"/>
        <w:jc w:val="center"/>
        <w:rPr>
          <w:rFonts w:ascii="Times New Roman" w:hAnsi="Times New Roman" w:cs="Times New Roman"/>
          <w:b/>
          <w:sz w:val="28"/>
          <w:szCs w:val="28"/>
          <w:lang w:val="en-GB"/>
        </w:rPr>
      </w:pPr>
    </w:p>
    <w:tbl>
      <w:tblPr>
        <w:tblStyle w:val="a3"/>
        <w:tblW w:w="0" w:type="auto"/>
        <w:tblLook w:val="04A0" w:firstRow="1" w:lastRow="0" w:firstColumn="1" w:lastColumn="0" w:noHBand="0" w:noVBand="1"/>
      </w:tblPr>
      <w:tblGrid>
        <w:gridCol w:w="4672"/>
        <w:gridCol w:w="4673"/>
      </w:tblGrid>
      <w:tr w:rsidR="00E51D84" w:rsidRPr="000C18D8" w:rsidTr="003D04BC">
        <w:tc>
          <w:tcPr>
            <w:tcW w:w="4672" w:type="dxa"/>
          </w:tcPr>
          <w:p w:rsidR="00E51D84" w:rsidRPr="00E51D84" w:rsidRDefault="00E51D84">
            <w:pPr>
              <w:rPr>
                <w:rFonts w:ascii="Times New Roman" w:eastAsia="Calibri" w:hAnsi="Times New Roman" w:cs="Times New Roman"/>
                <w:b/>
                <w:sz w:val="28"/>
                <w:szCs w:val="28"/>
                <w:lang w:val="en-US"/>
              </w:rPr>
            </w:pPr>
            <w:r w:rsidRPr="00E51D84">
              <w:rPr>
                <w:rStyle w:val="a6"/>
                <w:rFonts w:ascii="Times New Roman" w:hAnsi="Times New Roman" w:cs="Times New Roman"/>
                <w:sz w:val="28"/>
                <w:szCs w:val="28"/>
                <w:shd w:val="clear" w:color="auto" w:fill="FFFFFF"/>
                <w:lang w:val="en-US"/>
              </w:rPr>
              <w:t>Specialty code and name</w:t>
            </w:r>
          </w:p>
        </w:tc>
        <w:tc>
          <w:tcPr>
            <w:tcW w:w="4673" w:type="dxa"/>
          </w:tcPr>
          <w:p w:rsidR="00E51D84" w:rsidRPr="00717985" w:rsidRDefault="00E51D84" w:rsidP="003D04BC">
            <w:pPr>
              <w:rPr>
                <w:rFonts w:ascii="Times New Roman" w:hAnsi="Times New Roman" w:cs="Times New Roman"/>
                <w:sz w:val="28"/>
                <w:szCs w:val="28"/>
                <w:lang w:val="en-US"/>
              </w:rPr>
            </w:pPr>
            <w:r>
              <w:rPr>
                <w:rFonts w:ascii="Times New Roman" w:hAnsi="Times New Roman" w:cs="Times New Roman"/>
                <w:sz w:val="28"/>
                <w:szCs w:val="28"/>
              </w:rPr>
              <w:t>6-05-0421-0</w:t>
            </w:r>
            <w:r>
              <w:rPr>
                <w:rFonts w:ascii="Times New Roman" w:hAnsi="Times New Roman" w:cs="Times New Roman"/>
                <w:sz w:val="28"/>
                <w:szCs w:val="28"/>
                <w:lang w:val="en-US"/>
              </w:rPr>
              <w:t>1 Jurisprudence</w:t>
            </w:r>
          </w:p>
        </w:tc>
      </w:tr>
      <w:tr w:rsidR="00E51D84" w:rsidRPr="000C18D8" w:rsidTr="003D04BC">
        <w:tc>
          <w:tcPr>
            <w:tcW w:w="4672" w:type="dxa"/>
          </w:tcPr>
          <w:p w:rsidR="00E51D84" w:rsidRPr="00E51D84" w:rsidRDefault="00E51D84">
            <w:pPr>
              <w:rPr>
                <w:rFonts w:ascii="Times New Roman" w:eastAsia="Calibri" w:hAnsi="Times New Roman" w:cs="Times New Roman"/>
                <w:b/>
                <w:sz w:val="28"/>
                <w:szCs w:val="28"/>
                <w:lang w:val="en-US"/>
              </w:rPr>
            </w:pPr>
            <w:r w:rsidRPr="00E51D84">
              <w:rPr>
                <w:rFonts w:ascii="Times New Roman" w:hAnsi="Times New Roman" w:cs="Times New Roman"/>
                <w:b/>
                <w:sz w:val="28"/>
                <w:szCs w:val="28"/>
                <w:lang w:val="en-US"/>
              </w:rPr>
              <w:t>Year of study</w:t>
            </w:r>
          </w:p>
        </w:tc>
        <w:tc>
          <w:tcPr>
            <w:tcW w:w="4673" w:type="dxa"/>
          </w:tcPr>
          <w:p w:rsidR="00E51D84" w:rsidRPr="00CC6CEF" w:rsidRDefault="00E51D84" w:rsidP="003D04BC">
            <w:pPr>
              <w:rPr>
                <w:rFonts w:ascii="Times New Roman" w:hAnsi="Times New Roman" w:cs="Times New Roman"/>
                <w:sz w:val="28"/>
                <w:szCs w:val="28"/>
                <w:highlight w:val="yellow"/>
                <w:lang w:val="en-US"/>
              </w:rPr>
            </w:pPr>
            <w:r w:rsidRPr="00C15D14">
              <w:rPr>
                <w:rFonts w:ascii="Times New Roman" w:hAnsi="Times New Roman" w:cs="Times New Roman"/>
                <w:sz w:val="28"/>
                <w:szCs w:val="28"/>
                <w:lang w:val="en-US"/>
              </w:rPr>
              <w:t>2</w:t>
            </w:r>
          </w:p>
        </w:tc>
      </w:tr>
      <w:tr w:rsidR="00E51D84" w:rsidRPr="000C18D8" w:rsidTr="003D04BC">
        <w:tc>
          <w:tcPr>
            <w:tcW w:w="4672" w:type="dxa"/>
          </w:tcPr>
          <w:p w:rsidR="00E51D84" w:rsidRPr="00E51D84" w:rsidRDefault="00E51D84">
            <w:pPr>
              <w:rPr>
                <w:rFonts w:ascii="Times New Roman" w:eastAsia="Calibri" w:hAnsi="Times New Roman" w:cs="Times New Roman"/>
                <w:b/>
                <w:sz w:val="28"/>
                <w:szCs w:val="28"/>
                <w:lang w:val="en-US"/>
              </w:rPr>
            </w:pPr>
            <w:r w:rsidRPr="00E51D84">
              <w:rPr>
                <w:rFonts w:ascii="Times New Roman" w:hAnsi="Times New Roman" w:cs="Times New Roman"/>
                <w:b/>
                <w:sz w:val="28"/>
                <w:szCs w:val="28"/>
                <w:lang w:val="en-US"/>
              </w:rPr>
              <w:t>Semester of study</w:t>
            </w:r>
          </w:p>
        </w:tc>
        <w:tc>
          <w:tcPr>
            <w:tcW w:w="4673" w:type="dxa"/>
          </w:tcPr>
          <w:p w:rsidR="00E51D84" w:rsidRPr="00CC6CEF" w:rsidRDefault="00E51D84" w:rsidP="003D04BC">
            <w:pPr>
              <w:rPr>
                <w:rFonts w:ascii="Times New Roman" w:hAnsi="Times New Roman" w:cs="Times New Roman"/>
                <w:sz w:val="28"/>
                <w:szCs w:val="28"/>
                <w:highlight w:val="yellow"/>
                <w:lang w:val="en-US"/>
              </w:rPr>
            </w:pPr>
            <w:r w:rsidRPr="00C15D14">
              <w:rPr>
                <w:rFonts w:ascii="Times New Roman" w:hAnsi="Times New Roman" w:cs="Times New Roman"/>
                <w:sz w:val="28"/>
                <w:szCs w:val="28"/>
                <w:lang w:val="en-US"/>
              </w:rPr>
              <w:t>3</w:t>
            </w:r>
          </w:p>
        </w:tc>
      </w:tr>
      <w:tr w:rsidR="00E51D84" w:rsidRPr="000C18D8" w:rsidTr="003D04BC">
        <w:tc>
          <w:tcPr>
            <w:tcW w:w="4672" w:type="dxa"/>
          </w:tcPr>
          <w:p w:rsidR="00E51D84" w:rsidRPr="00E51D84" w:rsidRDefault="00E51D84">
            <w:pPr>
              <w:rPr>
                <w:rFonts w:ascii="Times New Roman" w:eastAsia="Calibri" w:hAnsi="Times New Roman" w:cs="Times New Roman"/>
                <w:b/>
                <w:sz w:val="28"/>
                <w:szCs w:val="28"/>
                <w:lang w:val="en-US"/>
              </w:rPr>
            </w:pPr>
            <w:r w:rsidRPr="00E51D84">
              <w:rPr>
                <w:rFonts w:ascii="Times New Roman" w:hAnsi="Times New Roman" w:cs="Times New Roman"/>
                <w:b/>
                <w:sz w:val="28"/>
                <w:szCs w:val="28"/>
                <w:lang w:val="en-US"/>
              </w:rPr>
              <w:t>Number of in-class academic hours:</w:t>
            </w:r>
          </w:p>
        </w:tc>
        <w:tc>
          <w:tcPr>
            <w:tcW w:w="4673" w:type="dxa"/>
          </w:tcPr>
          <w:p w:rsidR="00E51D84" w:rsidRPr="00C15D14" w:rsidRDefault="00E51D84" w:rsidP="003D04BC">
            <w:pPr>
              <w:rPr>
                <w:rFonts w:ascii="Times New Roman" w:hAnsi="Times New Roman" w:cs="Times New Roman"/>
                <w:sz w:val="28"/>
                <w:szCs w:val="28"/>
                <w:highlight w:val="yellow"/>
                <w:lang w:val="en-US"/>
              </w:rPr>
            </w:pPr>
            <w:r w:rsidRPr="00C15D14">
              <w:rPr>
                <w:rFonts w:ascii="Times New Roman" w:hAnsi="Times New Roman" w:cs="Times New Roman"/>
                <w:sz w:val="28"/>
                <w:szCs w:val="28"/>
                <w:lang w:val="en-US"/>
              </w:rPr>
              <w:t>50</w:t>
            </w:r>
          </w:p>
        </w:tc>
      </w:tr>
      <w:tr w:rsidR="00E51D84" w:rsidRPr="000C18D8" w:rsidTr="003D04BC">
        <w:tc>
          <w:tcPr>
            <w:tcW w:w="4672" w:type="dxa"/>
          </w:tcPr>
          <w:p w:rsidR="00E51D84" w:rsidRPr="00E51D84" w:rsidRDefault="00E51D84">
            <w:pPr>
              <w:rPr>
                <w:rFonts w:ascii="Times New Roman" w:eastAsia="Calibri" w:hAnsi="Times New Roman" w:cs="Times New Roman"/>
                <w:b/>
                <w:sz w:val="28"/>
                <w:szCs w:val="28"/>
              </w:rPr>
            </w:pPr>
            <w:r w:rsidRPr="00E51D84">
              <w:rPr>
                <w:rFonts w:ascii="Times New Roman" w:hAnsi="Times New Roman" w:cs="Times New Roman"/>
                <w:b/>
                <w:sz w:val="28"/>
                <w:szCs w:val="28"/>
                <w:lang w:val="en-US"/>
              </w:rPr>
              <w:t>Lectures</w:t>
            </w:r>
          </w:p>
        </w:tc>
        <w:tc>
          <w:tcPr>
            <w:tcW w:w="4673" w:type="dxa"/>
          </w:tcPr>
          <w:p w:rsidR="00E51D84" w:rsidRPr="00C15D14" w:rsidRDefault="00E51D84" w:rsidP="003D04BC">
            <w:pPr>
              <w:rPr>
                <w:rFonts w:ascii="Times New Roman" w:hAnsi="Times New Roman" w:cs="Times New Roman"/>
                <w:sz w:val="28"/>
                <w:szCs w:val="28"/>
                <w:lang w:val="en-US"/>
              </w:rPr>
            </w:pPr>
            <w:r w:rsidRPr="00C15D14">
              <w:rPr>
                <w:rFonts w:ascii="Times New Roman" w:hAnsi="Times New Roman" w:cs="Times New Roman"/>
                <w:sz w:val="28"/>
                <w:szCs w:val="28"/>
                <w:lang w:val="en-US"/>
              </w:rPr>
              <w:t>30</w:t>
            </w:r>
          </w:p>
        </w:tc>
      </w:tr>
      <w:tr w:rsidR="00E51D84" w:rsidRPr="000C18D8" w:rsidTr="00150296">
        <w:tc>
          <w:tcPr>
            <w:tcW w:w="4672" w:type="dxa"/>
            <w:vAlign w:val="center"/>
          </w:tcPr>
          <w:p w:rsidR="00E51D84" w:rsidRPr="00E51D84" w:rsidRDefault="00E51D84">
            <w:pPr>
              <w:rPr>
                <w:rFonts w:ascii="Times New Roman" w:eastAsia="Calibri" w:hAnsi="Times New Roman" w:cs="Times New Roman"/>
                <w:b/>
                <w:sz w:val="28"/>
                <w:szCs w:val="28"/>
                <w:lang w:val="en-US"/>
              </w:rPr>
            </w:pPr>
            <w:r w:rsidRPr="00E51D84">
              <w:rPr>
                <w:rFonts w:ascii="Times New Roman" w:hAnsi="Times New Roman" w:cs="Times New Roman"/>
                <w:b/>
                <w:sz w:val="28"/>
                <w:szCs w:val="28"/>
                <w:lang w:val="en-US"/>
              </w:rPr>
              <w:t>Seminar classes</w:t>
            </w:r>
          </w:p>
        </w:tc>
        <w:tc>
          <w:tcPr>
            <w:tcW w:w="4673" w:type="dxa"/>
          </w:tcPr>
          <w:p w:rsidR="00E51D84" w:rsidRPr="00C15D14" w:rsidRDefault="00E51D84" w:rsidP="003D04BC">
            <w:pPr>
              <w:rPr>
                <w:rFonts w:ascii="Times New Roman" w:hAnsi="Times New Roman" w:cs="Times New Roman"/>
                <w:sz w:val="28"/>
                <w:szCs w:val="28"/>
                <w:lang w:val="en-US"/>
              </w:rPr>
            </w:pPr>
            <w:r w:rsidRPr="00C15D14">
              <w:rPr>
                <w:rFonts w:ascii="Times New Roman" w:hAnsi="Times New Roman" w:cs="Times New Roman"/>
                <w:sz w:val="28"/>
                <w:szCs w:val="28"/>
                <w:lang w:val="en-US"/>
              </w:rPr>
              <w:t>20</w:t>
            </w:r>
          </w:p>
        </w:tc>
      </w:tr>
      <w:tr w:rsidR="00E51D84" w:rsidRPr="000C18D8" w:rsidTr="00150296">
        <w:tc>
          <w:tcPr>
            <w:tcW w:w="4672" w:type="dxa"/>
            <w:vAlign w:val="center"/>
          </w:tcPr>
          <w:p w:rsidR="00E51D84" w:rsidRPr="00E51D84" w:rsidRDefault="00E51D84">
            <w:pPr>
              <w:rPr>
                <w:rFonts w:ascii="Times New Roman" w:eastAsia="Calibri" w:hAnsi="Times New Roman" w:cs="Times New Roman"/>
                <w:b/>
                <w:sz w:val="28"/>
                <w:szCs w:val="28"/>
                <w:lang w:val="en-US"/>
              </w:rPr>
            </w:pPr>
            <w:r w:rsidRPr="00E51D84">
              <w:rPr>
                <w:rFonts w:ascii="Times New Roman" w:hAnsi="Times New Roman" w:cs="Times New Roman"/>
                <w:b/>
                <w:sz w:val="28"/>
                <w:szCs w:val="28"/>
                <w:lang w:val="en-US"/>
              </w:rPr>
              <w:t>Practical classes</w:t>
            </w:r>
          </w:p>
        </w:tc>
        <w:tc>
          <w:tcPr>
            <w:tcW w:w="4673" w:type="dxa"/>
          </w:tcPr>
          <w:p w:rsidR="00E51D84" w:rsidRPr="00CC6CEF" w:rsidRDefault="00E51D84" w:rsidP="003D04BC">
            <w:pPr>
              <w:rPr>
                <w:rFonts w:ascii="Times New Roman" w:hAnsi="Times New Roman" w:cs="Times New Roman"/>
                <w:sz w:val="28"/>
                <w:szCs w:val="28"/>
                <w:lang w:val="en-US"/>
              </w:rPr>
            </w:pPr>
            <w:r w:rsidRPr="00CC6CEF">
              <w:rPr>
                <w:rFonts w:ascii="Times New Roman" w:hAnsi="Times New Roman" w:cs="Times New Roman"/>
                <w:sz w:val="28"/>
                <w:szCs w:val="28"/>
                <w:lang w:val="en-US"/>
              </w:rPr>
              <w:t>-</w:t>
            </w:r>
          </w:p>
        </w:tc>
      </w:tr>
      <w:tr w:rsidR="00E51D84" w:rsidRPr="000C18D8" w:rsidTr="00150296">
        <w:tc>
          <w:tcPr>
            <w:tcW w:w="4672" w:type="dxa"/>
            <w:vAlign w:val="center"/>
          </w:tcPr>
          <w:p w:rsidR="00E51D84" w:rsidRPr="00E51D84" w:rsidRDefault="00E51D84">
            <w:pPr>
              <w:rPr>
                <w:rFonts w:ascii="Times New Roman" w:eastAsia="Calibri" w:hAnsi="Times New Roman" w:cs="Times New Roman"/>
                <w:b/>
                <w:sz w:val="28"/>
                <w:szCs w:val="28"/>
                <w:lang w:val="en-US"/>
              </w:rPr>
            </w:pPr>
            <w:r w:rsidRPr="00E51D84">
              <w:rPr>
                <w:rFonts w:ascii="Times New Roman" w:hAnsi="Times New Roman" w:cs="Times New Roman"/>
                <w:b/>
                <w:sz w:val="28"/>
                <w:szCs w:val="28"/>
                <w:lang w:val="en-US"/>
              </w:rPr>
              <w:t>Laboratory classes</w:t>
            </w:r>
          </w:p>
        </w:tc>
        <w:tc>
          <w:tcPr>
            <w:tcW w:w="4673" w:type="dxa"/>
          </w:tcPr>
          <w:p w:rsidR="00E51D84" w:rsidRPr="00CC6CEF" w:rsidRDefault="00E51D84" w:rsidP="003D04BC">
            <w:pPr>
              <w:rPr>
                <w:rFonts w:ascii="Times New Roman" w:hAnsi="Times New Roman" w:cs="Times New Roman"/>
                <w:sz w:val="28"/>
                <w:szCs w:val="28"/>
                <w:lang w:val="en-US"/>
              </w:rPr>
            </w:pPr>
            <w:r w:rsidRPr="00CC6CEF">
              <w:rPr>
                <w:rFonts w:ascii="Times New Roman" w:hAnsi="Times New Roman" w:cs="Times New Roman"/>
                <w:sz w:val="28"/>
                <w:szCs w:val="28"/>
                <w:lang w:val="en-US"/>
              </w:rPr>
              <w:t>-</w:t>
            </w:r>
          </w:p>
        </w:tc>
      </w:tr>
      <w:tr w:rsidR="00E51D84" w:rsidRPr="000C18D8" w:rsidTr="003D04BC">
        <w:tc>
          <w:tcPr>
            <w:tcW w:w="4672" w:type="dxa"/>
          </w:tcPr>
          <w:p w:rsidR="00E51D84" w:rsidRPr="00E51D84" w:rsidRDefault="00E51D84">
            <w:pPr>
              <w:rPr>
                <w:rFonts w:ascii="Times New Roman" w:eastAsia="Calibri" w:hAnsi="Times New Roman" w:cs="Times New Roman"/>
                <w:b/>
                <w:sz w:val="28"/>
                <w:szCs w:val="28"/>
                <w:lang w:val="en-US"/>
              </w:rPr>
            </w:pPr>
            <w:r w:rsidRPr="00E51D84">
              <w:rPr>
                <w:rFonts w:ascii="Times New Roman" w:hAnsi="Times New Roman" w:cs="Times New Roman"/>
                <w:b/>
                <w:sz w:val="28"/>
                <w:szCs w:val="28"/>
                <w:lang w:val="en-US"/>
              </w:rPr>
              <w:t>Form of the current assessment (</w:t>
            </w:r>
            <w:r w:rsidRPr="00E51D84">
              <w:rPr>
                <w:rFonts w:ascii="Times New Roman" w:hAnsi="Times New Roman" w:cs="Times New Roman"/>
                <w:b/>
                <w:i/>
                <w:sz w:val="28"/>
                <w:szCs w:val="28"/>
                <w:lang w:val="en-US"/>
              </w:rPr>
              <w:t>credit/ graded credit /exam</w:t>
            </w:r>
            <w:r w:rsidRPr="00E51D84">
              <w:rPr>
                <w:rFonts w:ascii="Times New Roman" w:hAnsi="Times New Roman" w:cs="Times New Roman"/>
                <w:b/>
                <w:sz w:val="28"/>
                <w:szCs w:val="28"/>
                <w:lang w:val="en-US"/>
              </w:rPr>
              <w:t>)</w:t>
            </w:r>
          </w:p>
        </w:tc>
        <w:tc>
          <w:tcPr>
            <w:tcW w:w="4673" w:type="dxa"/>
            <w:vAlign w:val="center"/>
          </w:tcPr>
          <w:p w:rsidR="00E51D84" w:rsidRPr="00717985" w:rsidRDefault="00E51D84" w:rsidP="003D04BC">
            <w:pPr>
              <w:rPr>
                <w:rFonts w:ascii="Times New Roman" w:hAnsi="Times New Roman" w:cs="Times New Roman"/>
                <w:sz w:val="28"/>
                <w:szCs w:val="28"/>
                <w:lang w:val="en-US"/>
              </w:rPr>
            </w:pPr>
            <w:r>
              <w:rPr>
                <w:rFonts w:ascii="Times New Roman" w:hAnsi="Times New Roman" w:cs="Times New Roman"/>
                <w:sz w:val="28"/>
                <w:szCs w:val="28"/>
                <w:lang w:val="en-US"/>
              </w:rPr>
              <w:t>exam</w:t>
            </w:r>
          </w:p>
        </w:tc>
      </w:tr>
      <w:tr w:rsidR="00E51D84" w:rsidRPr="000C18D8" w:rsidTr="003D04BC">
        <w:tc>
          <w:tcPr>
            <w:tcW w:w="4672" w:type="dxa"/>
          </w:tcPr>
          <w:p w:rsidR="00E51D84" w:rsidRPr="00E51D84" w:rsidRDefault="00E51D84">
            <w:pPr>
              <w:rPr>
                <w:rFonts w:ascii="Times New Roman" w:eastAsia="Calibri" w:hAnsi="Times New Roman" w:cs="Times New Roman"/>
                <w:b/>
                <w:sz w:val="28"/>
                <w:szCs w:val="28"/>
                <w:lang w:val="en-US"/>
              </w:rPr>
            </w:pPr>
            <w:r w:rsidRPr="00E51D84">
              <w:rPr>
                <w:rFonts w:ascii="Times New Roman" w:hAnsi="Times New Roman" w:cs="Times New Roman"/>
                <w:b/>
                <w:sz w:val="28"/>
                <w:szCs w:val="28"/>
                <w:lang w:val="en-US"/>
              </w:rPr>
              <w:t>Number of credit points</w:t>
            </w:r>
          </w:p>
        </w:tc>
        <w:tc>
          <w:tcPr>
            <w:tcW w:w="4673" w:type="dxa"/>
          </w:tcPr>
          <w:p w:rsidR="00E51D84" w:rsidRPr="00CC6CEF" w:rsidRDefault="00E51D84" w:rsidP="003D04BC">
            <w:pPr>
              <w:rPr>
                <w:rFonts w:ascii="Times New Roman" w:hAnsi="Times New Roman" w:cs="Times New Roman"/>
                <w:sz w:val="28"/>
                <w:szCs w:val="28"/>
              </w:rPr>
            </w:pPr>
            <w:r w:rsidRPr="00CC6CEF">
              <w:rPr>
                <w:rFonts w:ascii="Times New Roman" w:hAnsi="Times New Roman" w:cs="Times New Roman"/>
                <w:sz w:val="28"/>
                <w:szCs w:val="28"/>
              </w:rPr>
              <w:t>3</w:t>
            </w:r>
          </w:p>
        </w:tc>
      </w:tr>
      <w:tr w:rsidR="00E51D84" w:rsidRPr="00AB1D91" w:rsidTr="003D04BC">
        <w:tc>
          <w:tcPr>
            <w:tcW w:w="4672" w:type="dxa"/>
          </w:tcPr>
          <w:p w:rsidR="00E51D84" w:rsidRPr="00E51D84" w:rsidRDefault="00E51D84">
            <w:pPr>
              <w:rPr>
                <w:rFonts w:ascii="Times New Roman" w:eastAsia="Calibri" w:hAnsi="Times New Roman" w:cs="Times New Roman"/>
                <w:b/>
                <w:sz w:val="28"/>
                <w:szCs w:val="28"/>
                <w:lang w:val="en-US"/>
              </w:rPr>
            </w:pPr>
            <w:r w:rsidRPr="00E51D84">
              <w:rPr>
                <w:rFonts w:ascii="Times New Roman" w:hAnsi="Times New Roman" w:cs="Times New Roman"/>
                <w:b/>
                <w:sz w:val="28"/>
                <w:szCs w:val="28"/>
                <w:lang w:val="en-US"/>
              </w:rPr>
              <w:t>Competences</w:t>
            </w:r>
          </w:p>
        </w:tc>
        <w:tc>
          <w:tcPr>
            <w:tcW w:w="4673" w:type="dxa"/>
          </w:tcPr>
          <w:p w:rsidR="00E51D84" w:rsidRPr="00717985" w:rsidRDefault="00E51D84" w:rsidP="00E51D84">
            <w:pPr>
              <w:jc w:val="both"/>
              <w:rPr>
                <w:rFonts w:ascii="Times New Roman" w:hAnsi="Times New Roman" w:cs="Times New Roman"/>
                <w:sz w:val="28"/>
                <w:szCs w:val="28"/>
                <w:highlight w:val="yellow"/>
                <w:lang w:val="en-US"/>
              </w:rPr>
            </w:pPr>
            <w:r w:rsidRPr="00717985">
              <w:rPr>
                <w:rFonts w:ascii="Times New Roman" w:hAnsi="Times New Roman" w:cs="Times New Roman"/>
                <w:spacing w:val="-2"/>
                <w:sz w:val="28"/>
                <w:szCs w:val="28"/>
                <w:lang w:val="en-US"/>
              </w:rPr>
              <w:t>B</w:t>
            </w:r>
            <w:r>
              <w:rPr>
                <w:rFonts w:ascii="Times New Roman" w:hAnsi="Times New Roman" w:cs="Times New Roman"/>
                <w:spacing w:val="-2"/>
                <w:sz w:val="28"/>
                <w:szCs w:val="28"/>
                <w:lang w:val="en-US"/>
              </w:rPr>
              <w:t>PC</w:t>
            </w:r>
            <w:r w:rsidRPr="00717985">
              <w:rPr>
                <w:rFonts w:ascii="Times New Roman" w:hAnsi="Times New Roman" w:cs="Times New Roman"/>
                <w:spacing w:val="-2"/>
                <w:sz w:val="28"/>
                <w:szCs w:val="28"/>
                <w:lang w:val="en-US"/>
              </w:rPr>
              <w:t xml:space="preserve">-5 Correctly </w:t>
            </w:r>
            <w:proofErr w:type="gramStart"/>
            <w:r w:rsidRPr="00717985">
              <w:rPr>
                <w:rFonts w:ascii="Times New Roman" w:hAnsi="Times New Roman" w:cs="Times New Roman"/>
                <w:spacing w:val="-2"/>
                <w:sz w:val="28"/>
                <w:szCs w:val="28"/>
                <w:lang w:val="en-US"/>
              </w:rPr>
              <w:t>interpret</w:t>
            </w:r>
            <w:proofErr w:type="gramEnd"/>
            <w:r w:rsidRPr="00717985">
              <w:rPr>
                <w:rFonts w:ascii="Times New Roman" w:hAnsi="Times New Roman" w:cs="Times New Roman"/>
                <w:spacing w:val="-2"/>
                <w:sz w:val="28"/>
                <w:szCs w:val="28"/>
                <w:lang w:val="en-US"/>
              </w:rPr>
              <w:t xml:space="preserve"> and apply the norms of information law, solve theoretical and practical problems of the industry.</w:t>
            </w:r>
          </w:p>
        </w:tc>
      </w:tr>
      <w:tr w:rsidR="00571BB0" w:rsidRPr="00AB1D91" w:rsidTr="003D04BC">
        <w:tc>
          <w:tcPr>
            <w:tcW w:w="9345" w:type="dxa"/>
            <w:gridSpan w:val="2"/>
          </w:tcPr>
          <w:p w:rsidR="00571BB0" w:rsidRPr="00717985" w:rsidRDefault="00571BB0" w:rsidP="003D04BC">
            <w:pPr>
              <w:jc w:val="center"/>
              <w:rPr>
                <w:rFonts w:ascii="Times New Roman" w:hAnsi="Times New Roman" w:cs="Times New Roman"/>
                <w:b/>
                <w:sz w:val="28"/>
                <w:szCs w:val="28"/>
                <w:lang w:val="en-US"/>
              </w:rPr>
            </w:pPr>
            <w:r w:rsidRPr="00717985">
              <w:rPr>
                <w:rFonts w:ascii="Times New Roman" w:hAnsi="Times New Roman" w:cs="Times New Roman"/>
                <w:b/>
                <w:sz w:val="28"/>
                <w:szCs w:val="28"/>
                <w:lang w:val="en-US"/>
              </w:rPr>
              <w:t>Summary of the academic discipline:</w:t>
            </w:r>
          </w:p>
          <w:p w:rsidR="00571BB0" w:rsidRPr="00717985" w:rsidRDefault="00571BB0" w:rsidP="00E51D84">
            <w:pPr>
              <w:ind w:firstLine="709"/>
              <w:jc w:val="both"/>
              <w:rPr>
                <w:rFonts w:ascii="Times New Roman" w:hAnsi="Times New Roman" w:cs="Times New Roman"/>
                <w:sz w:val="28"/>
                <w:szCs w:val="28"/>
                <w:lang w:val="en-US"/>
              </w:rPr>
            </w:pPr>
            <w:r w:rsidRPr="00717985">
              <w:rPr>
                <w:rFonts w:ascii="Times New Roman" w:hAnsi="Times New Roman" w:cs="Times New Roman"/>
                <w:sz w:val="28"/>
                <w:szCs w:val="28"/>
                <w:lang w:val="en-US"/>
              </w:rPr>
              <w:t>Information law refers to emerging, complex branches of law, the subject of which is public relations arising in the field of collection, production (creation), processing, registration, accumulation, storage, updating, provision (transmission, transmission, retransmission, distribution), receipt (consumption, use), protection information and protection of others from its negative effects.</w:t>
            </w:r>
          </w:p>
          <w:p w:rsidR="00571BB0" w:rsidRPr="00717985" w:rsidRDefault="00571BB0" w:rsidP="00E51D84">
            <w:pPr>
              <w:ind w:firstLine="709"/>
              <w:jc w:val="both"/>
              <w:rPr>
                <w:rFonts w:ascii="Times New Roman" w:hAnsi="Times New Roman" w:cs="Times New Roman"/>
                <w:sz w:val="28"/>
                <w:szCs w:val="28"/>
                <w:lang w:val="en-US"/>
              </w:rPr>
            </w:pPr>
            <w:r w:rsidRPr="00717985">
              <w:rPr>
                <w:rFonts w:ascii="Times New Roman" w:hAnsi="Times New Roman" w:cs="Times New Roman"/>
                <w:sz w:val="28"/>
                <w:szCs w:val="28"/>
                <w:lang w:val="en-US"/>
              </w:rPr>
              <w:t>The purpose of studying the discipline is to form students' systematic knowledge about the basics and specifics of the legal regulation of information relations, to develop skills in analyzing, interpreting and applying the norms of information law.</w:t>
            </w:r>
          </w:p>
          <w:p w:rsidR="00571BB0" w:rsidRPr="00717985" w:rsidRDefault="00571BB0" w:rsidP="00E51D84">
            <w:pPr>
              <w:ind w:firstLine="709"/>
              <w:jc w:val="both"/>
              <w:rPr>
                <w:rFonts w:ascii="Times New Roman" w:eastAsia="Courier New" w:hAnsi="Times New Roman" w:cs="Times New Roman"/>
                <w:sz w:val="28"/>
                <w:szCs w:val="28"/>
                <w:highlight w:val="yellow"/>
                <w:lang w:val="en-US"/>
              </w:rPr>
            </w:pPr>
            <w:r w:rsidRPr="00717985">
              <w:rPr>
                <w:rFonts w:ascii="Times New Roman" w:hAnsi="Times New Roman" w:cs="Times New Roman"/>
                <w:sz w:val="28"/>
                <w:szCs w:val="28"/>
                <w:lang w:val="en-US"/>
              </w:rPr>
              <w:t xml:space="preserve">The relevance of information law and the need to study it are due to universal </w:t>
            </w:r>
            <w:proofErr w:type="spellStart"/>
            <w:r w:rsidRPr="00717985">
              <w:rPr>
                <w:rFonts w:ascii="Times New Roman" w:hAnsi="Times New Roman" w:cs="Times New Roman"/>
                <w:sz w:val="28"/>
                <w:szCs w:val="28"/>
                <w:lang w:val="en-US"/>
              </w:rPr>
              <w:t>informatization</w:t>
            </w:r>
            <w:proofErr w:type="spellEnd"/>
            <w:r w:rsidRPr="00717985">
              <w:rPr>
                <w:rFonts w:ascii="Times New Roman" w:hAnsi="Times New Roman" w:cs="Times New Roman"/>
                <w:sz w:val="28"/>
                <w:szCs w:val="28"/>
                <w:lang w:val="en-US"/>
              </w:rPr>
              <w:t>, a significant increase in the role of information in all social spheres, as well as the need to ensure the information security of private and public entities by legal means.</w:t>
            </w:r>
          </w:p>
        </w:tc>
      </w:tr>
    </w:tbl>
    <w:p w:rsidR="00571BB0" w:rsidRPr="00571BB0" w:rsidRDefault="00571BB0" w:rsidP="00F54C16">
      <w:pPr>
        <w:spacing w:after="0" w:line="240" w:lineRule="auto"/>
        <w:jc w:val="center"/>
        <w:rPr>
          <w:rFonts w:ascii="Times New Roman" w:hAnsi="Times New Roman" w:cs="Times New Roman"/>
          <w:sz w:val="28"/>
          <w:szCs w:val="28"/>
          <w:lang w:val="en-US"/>
        </w:rPr>
      </w:pPr>
    </w:p>
    <w:sectPr w:rsidR="00571BB0" w:rsidRPr="00571BB0" w:rsidSect="00CA2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052B56"/>
    <w:rsid w:val="00094B61"/>
    <w:rsid w:val="000C18D8"/>
    <w:rsid w:val="001022C8"/>
    <w:rsid w:val="00107549"/>
    <w:rsid w:val="00260B80"/>
    <w:rsid w:val="002A4FBE"/>
    <w:rsid w:val="003C4143"/>
    <w:rsid w:val="003C7D07"/>
    <w:rsid w:val="004B5358"/>
    <w:rsid w:val="00552F92"/>
    <w:rsid w:val="00555705"/>
    <w:rsid w:val="00566DE6"/>
    <w:rsid w:val="00571BB0"/>
    <w:rsid w:val="005807F5"/>
    <w:rsid w:val="005B6F99"/>
    <w:rsid w:val="005C084B"/>
    <w:rsid w:val="00666BA2"/>
    <w:rsid w:val="006D17F3"/>
    <w:rsid w:val="0079791B"/>
    <w:rsid w:val="007D537A"/>
    <w:rsid w:val="00800320"/>
    <w:rsid w:val="0080240F"/>
    <w:rsid w:val="00907ADE"/>
    <w:rsid w:val="009B48D4"/>
    <w:rsid w:val="00A70C0F"/>
    <w:rsid w:val="00A85198"/>
    <w:rsid w:val="00AB1D91"/>
    <w:rsid w:val="00AF60E2"/>
    <w:rsid w:val="00B327AE"/>
    <w:rsid w:val="00B66196"/>
    <w:rsid w:val="00BA360F"/>
    <w:rsid w:val="00C15D14"/>
    <w:rsid w:val="00C64F06"/>
    <w:rsid w:val="00CA2151"/>
    <w:rsid w:val="00CC6CEF"/>
    <w:rsid w:val="00D835F0"/>
    <w:rsid w:val="00DA30E9"/>
    <w:rsid w:val="00DE4ABD"/>
    <w:rsid w:val="00E51D84"/>
    <w:rsid w:val="00E675CE"/>
    <w:rsid w:val="00F54C16"/>
    <w:rsid w:val="00F750F5"/>
    <w:rsid w:val="00FE545A"/>
    <w:rsid w:val="00FF4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iPriority w:val="99"/>
    <w:rsid w:val="001022C8"/>
    <w:pPr>
      <w:spacing w:after="120" w:line="240" w:lineRule="auto"/>
      <w:ind w:left="283"/>
    </w:pPr>
    <w:rPr>
      <w:rFonts w:ascii="Times New Roman" w:eastAsia="Times New Roman" w:hAnsi="Times New Roman" w:cs="Times New Roman"/>
      <w:sz w:val="24"/>
      <w:szCs w:val="24"/>
      <w:lang w:val="be-BY" w:eastAsia="be-BY"/>
    </w:rPr>
  </w:style>
  <w:style w:type="character" w:customStyle="1" w:styleId="a5">
    <w:name w:val="Основной текст с отступом Знак"/>
    <w:basedOn w:val="a0"/>
    <w:link w:val="a4"/>
    <w:uiPriority w:val="99"/>
    <w:rsid w:val="001022C8"/>
    <w:rPr>
      <w:rFonts w:ascii="Times New Roman" w:eastAsia="Times New Roman" w:hAnsi="Times New Roman" w:cs="Times New Roman"/>
      <w:sz w:val="24"/>
      <w:szCs w:val="24"/>
      <w:lang w:val="be-BY" w:eastAsia="be-BY"/>
    </w:rPr>
  </w:style>
  <w:style w:type="character" w:styleId="a6">
    <w:name w:val="Strong"/>
    <w:basedOn w:val="a0"/>
    <w:uiPriority w:val="22"/>
    <w:qFormat/>
    <w:rsid w:val="00E51D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iPriority w:val="99"/>
    <w:rsid w:val="001022C8"/>
    <w:pPr>
      <w:spacing w:after="120" w:line="240" w:lineRule="auto"/>
      <w:ind w:left="283"/>
    </w:pPr>
    <w:rPr>
      <w:rFonts w:ascii="Times New Roman" w:eastAsia="Times New Roman" w:hAnsi="Times New Roman" w:cs="Times New Roman"/>
      <w:sz w:val="24"/>
      <w:szCs w:val="24"/>
      <w:lang w:val="be-BY" w:eastAsia="be-BY"/>
    </w:rPr>
  </w:style>
  <w:style w:type="character" w:customStyle="1" w:styleId="a5">
    <w:name w:val="Основной текст с отступом Знак"/>
    <w:basedOn w:val="a0"/>
    <w:link w:val="a4"/>
    <w:uiPriority w:val="99"/>
    <w:rsid w:val="001022C8"/>
    <w:rPr>
      <w:rFonts w:ascii="Times New Roman" w:eastAsia="Times New Roman" w:hAnsi="Times New Roman" w:cs="Times New Roman"/>
      <w:sz w:val="24"/>
      <w:szCs w:val="24"/>
      <w:lang w:val="be-BY" w:eastAsia="be-BY"/>
    </w:rPr>
  </w:style>
  <w:style w:type="character" w:styleId="a6">
    <w:name w:val="Strong"/>
    <w:basedOn w:val="a0"/>
    <w:uiPriority w:val="22"/>
    <w:qFormat/>
    <w:rsid w:val="00E51D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2025-07-21T08:17:00Z</dcterms:created>
  <dcterms:modified xsi:type="dcterms:W3CDTF">2025-07-21T08:17:00Z</dcterms:modified>
</cp:coreProperties>
</file>