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02" w:rsidRPr="00F8561D" w:rsidRDefault="00E76B6E" w:rsidP="005773B1">
      <w:pPr>
        <w:spacing w:after="12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The n</w:t>
      </w:r>
      <w:r w:rsidR="00655602" w:rsidRPr="00F8561D">
        <w:rPr>
          <w:rFonts w:ascii="Times New Roman" w:eastAsia="Calibri" w:hAnsi="Times New Roman" w:cs="Times New Roman"/>
          <w:b/>
          <w:sz w:val="28"/>
          <w:szCs w:val="28"/>
          <w:lang w:val="en-US"/>
        </w:rPr>
        <w:t>ame of the academic discipline:</w:t>
      </w:r>
    </w:p>
    <w:p w:rsidR="00655602" w:rsidRPr="00E76B6E" w:rsidRDefault="00E76B6E" w:rsidP="00655602">
      <w:pPr>
        <w:spacing w:after="12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w:t>
      </w:r>
      <w:bookmarkStart w:id="0" w:name="_GoBack"/>
      <w:proofErr w:type="spellStart"/>
      <w:r w:rsidR="00655602" w:rsidRPr="00F8561D">
        <w:rPr>
          <w:rFonts w:ascii="Times New Roman" w:eastAsia="Calibri" w:hAnsi="Times New Roman" w:cs="Times New Roman"/>
          <w:b/>
          <w:sz w:val="28"/>
          <w:szCs w:val="28"/>
        </w:rPr>
        <w:t>Demography</w:t>
      </w:r>
      <w:bookmarkEnd w:id="0"/>
      <w:proofErr w:type="spellEnd"/>
      <w:r>
        <w:rPr>
          <w:rFonts w:ascii="Times New Roman" w:eastAsia="Calibri" w:hAnsi="Times New Roman" w:cs="Times New Roman"/>
          <w:b/>
          <w:sz w:val="28"/>
          <w:szCs w:val="28"/>
          <w:lang w:val="en-US"/>
        </w:rPr>
        <w:t>”</w:t>
      </w:r>
    </w:p>
    <w:p w:rsidR="00655602" w:rsidRPr="00655602" w:rsidRDefault="00655602" w:rsidP="00655602">
      <w:pPr>
        <w:spacing w:after="120" w:line="240" w:lineRule="auto"/>
        <w:jc w:val="center"/>
        <w:rPr>
          <w:rFonts w:ascii="Times New Roman" w:hAnsi="Times New Roman" w:cs="Times New Roman"/>
          <w:b/>
          <w:sz w:val="28"/>
          <w:szCs w:val="28"/>
          <w:lang w:val="en-GB"/>
        </w:rPr>
      </w:pPr>
    </w:p>
    <w:tbl>
      <w:tblPr>
        <w:tblStyle w:val="a3"/>
        <w:tblW w:w="9747" w:type="dxa"/>
        <w:tblLook w:val="04A0" w:firstRow="1" w:lastRow="0" w:firstColumn="1" w:lastColumn="0" w:noHBand="0" w:noVBand="1"/>
      </w:tblPr>
      <w:tblGrid>
        <w:gridCol w:w="3227"/>
        <w:gridCol w:w="6520"/>
      </w:tblGrid>
      <w:tr w:rsidR="00E76B6E"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rStyle w:val="a4"/>
                <w:shd w:val="clear" w:color="auto" w:fill="FFFFFF"/>
                <w:lang w:val="en-US"/>
              </w:rPr>
              <w:t>Specialty code and name</w:t>
            </w:r>
          </w:p>
        </w:tc>
        <w:tc>
          <w:tcPr>
            <w:tcW w:w="6520" w:type="dxa"/>
            <w:tcBorders>
              <w:top w:val="single" w:sz="4" w:space="0" w:color="auto"/>
              <w:left w:val="single" w:sz="4" w:space="0" w:color="auto"/>
              <w:bottom w:val="single" w:sz="4" w:space="0" w:color="auto"/>
              <w:right w:val="single" w:sz="4" w:space="0" w:color="auto"/>
            </w:tcBorders>
            <w:hideMark/>
          </w:tcPr>
          <w:p w:rsidR="00E76B6E" w:rsidRPr="00B1247B" w:rsidRDefault="00E76B6E" w:rsidP="003D04BC">
            <w:r w:rsidRPr="00463C8D">
              <w:t>6-05-0</w:t>
            </w:r>
            <w:r>
              <w:t>421</w:t>
            </w:r>
            <w:r w:rsidRPr="00463C8D">
              <w:t>-0</w:t>
            </w:r>
            <w:r>
              <w:t>1</w:t>
            </w:r>
            <w:r w:rsidRPr="00F57EC1">
              <w:t xml:space="preserve"> </w:t>
            </w:r>
            <w:r>
              <w:rPr>
                <w:lang w:val="en-US"/>
              </w:rPr>
              <w:t>Jurisprudence</w:t>
            </w:r>
          </w:p>
        </w:tc>
      </w:tr>
      <w:tr w:rsidR="00E76B6E"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b/>
                <w:lang w:val="en-US"/>
              </w:rPr>
              <w:t>Year of study</w:t>
            </w: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t>2</w:t>
            </w:r>
          </w:p>
        </w:tc>
      </w:tr>
      <w:tr w:rsidR="00E76B6E"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b/>
                <w:lang w:val="en-US"/>
              </w:rPr>
              <w:t>Semester of study</w:t>
            </w: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t>4</w:t>
            </w:r>
          </w:p>
        </w:tc>
      </w:tr>
      <w:tr w:rsidR="00E76B6E"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b/>
                <w:lang w:val="en-US"/>
              </w:rPr>
              <w:t>Number of in-class academic hours:</w:t>
            </w:r>
          </w:p>
        </w:tc>
        <w:tc>
          <w:tcPr>
            <w:tcW w:w="6520" w:type="dxa"/>
            <w:tcBorders>
              <w:top w:val="single" w:sz="4" w:space="0" w:color="auto"/>
              <w:left w:val="single" w:sz="4" w:space="0" w:color="auto"/>
              <w:bottom w:val="single" w:sz="4" w:space="0" w:color="auto"/>
              <w:right w:val="single" w:sz="4" w:space="0" w:color="auto"/>
            </w:tcBorders>
            <w:hideMark/>
          </w:tcPr>
          <w:p w:rsidR="00E76B6E" w:rsidRPr="001761B1" w:rsidRDefault="00E76B6E" w:rsidP="003D04BC">
            <w:pPr>
              <w:rPr>
                <w:lang w:val="en-US"/>
              </w:rPr>
            </w:pPr>
            <w:r>
              <w:t>36</w:t>
            </w:r>
          </w:p>
        </w:tc>
      </w:tr>
      <w:tr w:rsidR="00E76B6E" w:rsidTr="003D04BC">
        <w:tc>
          <w:tcPr>
            <w:tcW w:w="3227" w:type="dxa"/>
            <w:vMerge w:val="restart"/>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rPr>
            </w:pPr>
            <w:r>
              <w:rPr>
                <w:b/>
                <w:lang w:val="en-US"/>
              </w:rPr>
              <w:t>Lectures</w:t>
            </w:r>
          </w:p>
          <w:p w:rsidR="00E76B6E" w:rsidRDefault="00E76B6E">
            <w:pPr>
              <w:rPr>
                <w:rFonts w:eastAsiaTheme="minorHAnsi"/>
                <w:b/>
                <w:lang w:val="en-US"/>
              </w:rPr>
            </w:pPr>
            <w:r>
              <w:rPr>
                <w:b/>
                <w:lang w:val="en-US"/>
              </w:rPr>
              <w:t xml:space="preserve">Seminar classes </w:t>
            </w:r>
          </w:p>
          <w:p w:rsidR="00E76B6E" w:rsidRDefault="00E76B6E">
            <w:pPr>
              <w:rPr>
                <w:rFonts w:eastAsiaTheme="minorEastAsia"/>
                <w:b/>
                <w:lang w:val="en-US"/>
              </w:rPr>
            </w:pPr>
            <w:r>
              <w:rPr>
                <w:b/>
                <w:lang w:val="en-US"/>
              </w:rPr>
              <w:t>Practical classes</w:t>
            </w:r>
          </w:p>
          <w:p w:rsidR="00E76B6E" w:rsidRDefault="00E76B6E">
            <w:pPr>
              <w:rPr>
                <w:rFonts w:eastAsia="Calibri"/>
                <w:b/>
                <w:lang w:val="en-US" w:eastAsia="en-US"/>
              </w:rPr>
            </w:pPr>
            <w:r>
              <w:rPr>
                <w:b/>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E76B6E" w:rsidRPr="001761B1" w:rsidRDefault="00E76B6E" w:rsidP="003D04BC">
            <w:pPr>
              <w:rPr>
                <w:lang w:val="en-US"/>
              </w:rPr>
            </w:pPr>
            <w:r>
              <w:t>18</w:t>
            </w:r>
          </w:p>
        </w:tc>
      </w:tr>
      <w:tr w:rsidR="00E76B6E" w:rsidTr="000B2F90">
        <w:tc>
          <w:tcPr>
            <w:tcW w:w="0" w:type="auto"/>
            <w:vMerge/>
            <w:tcBorders>
              <w:top w:val="single" w:sz="4" w:space="0" w:color="auto"/>
              <w:left w:val="single" w:sz="4" w:space="0" w:color="auto"/>
              <w:bottom w:val="single" w:sz="4" w:space="0" w:color="auto"/>
              <w:right w:val="single" w:sz="4" w:space="0" w:color="auto"/>
            </w:tcBorders>
            <w:vAlign w:val="center"/>
            <w:hideMark/>
          </w:tcPr>
          <w:p w:rsidR="00E76B6E" w:rsidRDefault="00E76B6E" w:rsidP="003D04BC">
            <w:pPr>
              <w:rPr>
                <w:b/>
              </w:rPr>
            </w:pP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t>18</w:t>
            </w:r>
          </w:p>
        </w:tc>
      </w:tr>
      <w:tr w:rsidR="00E76B6E" w:rsidTr="000B2F90">
        <w:tc>
          <w:tcPr>
            <w:tcW w:w="0" w:type="auto"/>
            <w:vMerge/>
            <w:tcBorders>
              <w:top w:val="single" w:sz="4" w:space="0" w:color="auto"/>
              <w:left w:val="single" w:sz="4" w:space="0" w:color="auto"/>
              <w:bottom w:val="single" w:sz="4" w:space="0" w:color="auto"/>
              <w:right w:val="single" w:sz="4" w:space="0" w:color="auto"/>
            </w:tcBorders>
            <w:vAlign w:val="center"/>
            <w:hideMark/>
          </w:tcPr>
          <w:p w:rsidR="00E76B6E" w:rsidRDefault="00E76B6E" w:rsidP="003D04BC">
            <w:pPr>
              <w:rPr>
                <w:b/>
              </w:rPr>
            </w:pP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t>-</w:t>
            </w:r>
          </w:p>
        </w:tc>
      </w:tr>
      <w:tr w:rsidR="00E76B6E" w:rsidTr="000B2F90">
        <w:tc>
          <w:tcPr>
            <w:tcW w:w="0" w:type="auto"/>
            <w:vMerge/>
            <w:tcBorders>
              <w:top w:val="single" w:sz="4" w:space="0" w:color="auto"/>
              <w:left w:val="single" w:sz="4" w:space="0" w:color="auto"/>
              <w:bottom w:val="single" w:sz="4" w:space="0" w:color="auto"/>
              <w:right w:val="single" w:sz="4" w:space="0" w:color="auto"/>
            </w:tcBorders>
            <w:vAlign w:val="center"/>
            <w:hideMark/>
          </w:tcPr>
          <w:p w:rsidR="00E76B6E" w:rsidRDefault="00E76B6E" w:rsidP="003D04BC">
            <w:pPr>
              <w:rPr>
                <w:b/>
              </w:rPr>
            </w:pP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t>-</w:t>
            </w:r>
          </w:p>
        </w:tc>
      </w:tr>
      <w:tr w:rsidR="00E76B6E"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b/>
                <w:lang w:val="en-US"/>
              </w:rPr>
              <w:t>Form of the current assessment (</w:t>
            </w:r>
            <w:r>
              <w:rPr>
                <w:b/>
                <w:i/>
                <w:lang w:val="en-US"/>
              </w:rPr>
              <w:t>credit/ graded credit /exam</w:t>
            </w:r>
            <w:r>
              <w:rPr>
                <w:b/>
                <w:lang w:val="en-US"/>
              </w:rPr>
              <w:t>)</w:t>
            </w: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rPr>
                <w:lang w:val="en-US"/>
              </w:rPr>
              <w:t>graded</w:t>
            </w:r>
            <w:r w:rsidRPr="00DC3B03">
              <w:rPr>
                <w:lang w:val="en-US"/>
              </w:rPr>
              <w:t xml:space="preserve"> credit</w:t>
            </w:r>
          </w:p>
        </w:tc>
      </w:tr>
      <w:tr w:rsidR="00E76B6E"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b/>
                <w:lang w:val="en-US"/>
              </w:rPr>
              <w:t>Number of credit points</w:t>
            </w:r>
          </w:p>
        </w:tc>
        <w:tc>
          <w:tcPr>
            <w:tcW w:w="6520" w:type="dxa"/>
            <w:tcBorders>
              <w:top w:val="single" w:sz="4" w:space="0" w:color="auto"/>
              <w:left w:val="single" w:sz="4" w:space="0" w:color="auto"/>
              <w:bottom w:val="single" w:sz="4" w:space="0" w:color="auto"/>
              <w:right w:val="single" w:sz="4" w:space="0" w:color="auto"/>
            </w:tcBorders>
            <w:hideMark/>
          </w:tcPr>
          <w:p w:rsidR="00E76B6E" w:rsidRDefault="00E76B6E" w:rsidP="003D04BC">
            <w:r>
              <w:t>2</w:t>
            </w:r>
          </w:p>
        </w:tc>
      </w:tr>
      <w:tr w:rsidR="00E76B6E" w:rsidRPr="005773B1" w:rsidTr="003D04BC">
        <w:tc>
          <w:tcPr>
            <w:tcW w:w="3227" w:type="dxa"/>
            <w:tcBorders>
              <w:top w:val="single" w:sz="4" w:space="0" w:color="auto"/>
              <w:left w:val="single" w:sz="4" w:space="0" w:color="auto"/>
              <w:bottom w:val="single" w:sz="4" w:space="0" w:color="auto"/>
              <w:right w:val="single" w:sz="4" w:space="0" w:color="auto"/>
            </w:tcBorders>
            <w:hideMark/>
          </w:tcPr>
          <w:p w:rsidR="00E76B6E" w:rsidRDefault="00E76B6E">
            <w:pPr>
              <w:rPr>
                <w:rFonts w:eastAsia="Calibri"/>
                <w:b/>
                <w:lang w:val="en-US" w:eastAsia="en-US"/>
              </w:rPr>
            </w:pPr>
            <w:r>
              <w:rPr>
                <w:b/>
                <w:lang w:val="en-US"/>
              </w:rPr>
              <w:t>Competences</w:t>
            </w:r>
          </w:p>
        </w:tc>
        <w:tc>
          <w:tcPr>
            <w:tcW w:w="6520" w:type="dxa"/>
            <w:tcBorders>
              <w:top w:val="single" w:sz="4" w:space="0" w:color="auto"/>
              <w:left w:val="single" w:sz="4" w:space="0" w:color="auto"/>
              <w:bottom w:val="single" w:sz="4" w:space="0" w:color="auto"/>
              <w:right w:val="single" w:sz="4" w:space="0" w:color="auto"/>
            </w:tcBorders>
            <w:hideMark/>
          </w:tcPr>
          <w:p w:rsidR="00E76B6E" w:rsidRPr="00F8561D" w:rsidRDefault="00E76B6E" w:rsidP="00E76B6E">
            <w:pPr>
              <w:jc w:val="both"/>
              <w:rPr>
                <w:lang w:val="en-US"/>
              </w:rPr>
            </w:pPr>
            <w:r w:rsidRPr="00F8561D">
              <w:rPr>
                <w:lang w:val="be-BY"/>
              </w:rPr>
              <w:t xml:space="preserve">Mastering the academic discipline </w:t>
            </w:r>
            <w:r>
              <w:rPr>
                <w:lang w:val="en-US"/>
              </w:rPr>
              <w:t>“</w:t>
            </w:r>
            <w:r w:rsidRPr="00F8561D">
              <w:rPr>
                <w:lang w:val="be-BY"/>
              </w:rPr>
              <w:t>Demography</w:t>
            </w:r>
            <w:r>
              <w:rPr>
                <w:lang w:val="en-US"/>
              </w:rPr>
              <w:t>”</w:t>
            </w:r>
            <w:r w:rsidRPr="00F8561D">
              <w:rPr>
                <w:lang w:val="be-BY"/>
              </w:rPr>
              <w:t xml:space="preserve"> should ensure the formation of universal competencies: to work in a team, to accept social, ethnic, confessional, cultural and other differences in political knowledge in a tolerant manner in order to form a culture of conscious and rational political choice, and to affirm socially oriented values.</w:t>
            </w:r>
          </w:p>
        </w:tc>
      </w:tr>
      <w:tr w:rsidR="00655602" w:rsidRPr="005773B1" w:rsidTr="003D04BC">
        <w:tc>
          <w:tcPr>
            <w:tcW w:w="9747" w:type="dxa"/>
            <w:gridSpan w:val="2"/>
            <w:tcBorders>
              <w:top w:val="single" w:sz="4" w:space="0" w:color="auto"/>
              <w:left w:val="single" w:sz="4" w:space="0" w:color="auto"/>
              <w:bottom w:val="single" w:sz="4" w:space="0" w:color="auto"/>
              <w:right w:val="single" w:sz="4" w:space="0" w:color="auto"/>
            </w:tcBorders>
            <w:hideMark/>
          </w:tcPr>
          <w:p w:rsidR="00655602" w:rsidRPr="00F8561D" w:rsidRDefault="00655602" w:rsidP="003D04BC">
            <w:pPr>
              <w:jc w:val="center"/>
              <w:rPr>
                <w:b/>
                <w:lang w:val="en-US"/>
              </w:rPr>
            </w:pPr>
            <w:r w:rsidRPr="00F8561D">
              <w:rPr>
                <w:b/>
                <w:lang w:val="en-US"/>
              </w:rPr>
              <w:t>Summary of the academic discipline:</w:t>
            </w:r>
          </w:p>
          <w:p w:rsidR="00655602" w:rsidRPr="00F8561D" w:rsidRDefault="00655602" w:rsidP="00E76B6E">
            <w:pPr>
              <w:ind w:firstLine="709"/>
              <w:jc w:val="both"/>
              <w:rPr>
                <w:lang w:val="en-US"/>
              </w:rPr>
            </w:pPr>
            <w:r w:rsidRPr="00F8561D">
              <w:rPr>
                <w:lang w:val="en-US"/>
              </w:rPr>
              <w:t xml:space="preserve">The discipline </w:t>
            </w:r>
            <w:r w:rsidR="00E76B6E">
              <w:rPr>
                <w:lang w:val="en-US"/>
              </w:rPr>
              <w:t>“</w:t>
            </w:r>
            <w:r w:rsidRPr="00F8561D">
              <w:rPr>
                <w:lang w:val="en-US"/>
              </w:rPr>
              <w:t>Demography</w:t>
            </w:r>
            <w:r w:rsidR="00E76B6E">
              <w:rPr>
                <w:lang w:val="en-US"/>
              </w:rPr>
              <w:t>”</w:t>
            </w:r>
            <w:r w:rsidRPr="00F8561D">
              <w:rPr>
                <w:lang w:val="en-US"/>
              </w:rPr>
              <w:t xml:space="preserve"> is aimed at forming students</w:t>
            </w:r>
            <w:r w:rsidR="00E76B6E">
              <w:rPr>
                <w:lang w:val="en-US"/>
              </w:rPr>
              <w:t>’</w:t>
            </w:r>
            <w:r w:rsidRPr="00F8561D">
              <w:rPr>
                <w:lang w:val="en-US"/>
              </w:rPr>
              <w:t xml:space="preserve"> knowledge about the content of the analysis of social phenomena and demographic processes. It examines the basic concepts of demography, statistical indicators of the social sphere, basic demographic indicators and methods of demographic science. A distinctive feature of the discipline is its practical focus on the use of demographic information, the development of skills for analyzing demographic phenomena in the process of legal, social and economic research.</w:t>
            </w:r>
          </w:p>
          <w:p w:rsidR="00655602" w:rsidRPr="00F8561D" w:rsidRDefault="00655602" w:rsidP="003D04BC">
            <w:pPr>
              <w:autoSpaceDE w:val="0"/>
              <w:autoSpaceDN w:val="0"/>
              <w:adjustRightInd w:val="0"/>
              <w:ind w:firstLine="709"/>
              <w:jc w:val="both"/>
              <w:rPr>
                <w:lang w:val="en-US"/>
              </w:rPr>
            </w:pPr>
            <w:r w:rsidRPr="00F8561D">
              <w:rPr>
                <w:lang w:val="en-US"/>
              </w:rPr>
              <w:t>The purpose of the discipline is to study the main demographic processes, patterns and socio-demographic indicators of social development.</w:t>
            </w:r>
          </w:p>
        </w:tc>
      </w:tr>
    </w:tbl>
    <w:p w:rsidR="00655602" w:rsidRPr="00F8561D" w:rsidRDefault="00655602" w:rsidP="00655602">
      <w:pPr>
        <w:rPr>
          <w:lang w:val="en-US"/>
        </w:rPr>
      </w:pPr>
    </w:p>
    <w:p w:rsidR="00415E1A" w:rsidRPr="00655602" w:rsidRDefault="00415E1A">
      <w:pPr>
        <w:rPr>
          <w:lang w:val="en-US"/>
        </w:rPr>
      </w:pPr>
    </w:p>
    <w:sectPr w:rsidR="00415E1A" w:rsidRPr="00655602" w:rsidSect="00441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92"/>
    <w:rsid w:val="00415E1A"/>
    <w:rsid w:val="004412D0"/>
    <w:rsid w:val="005773B1"/>
    <w:rsid w:val="00655602"/>
    <w:rsid w:val="00E76B6E"/>
    <w:rsid w:val="00EA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992"/>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76B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992"/>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76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2025-07-21T08:14:00Z</dcterms:created>
  <dcterms:modified xsi:type="dcterms:W3CDTF">2025-07-21T08:14:00Z</dcterms:modified>
</cp:coreProperties>
</file>