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61F61" w14:textId="77777777" w:rsidR="002D2D2B" w:rsidRPr="004121A5" w:rsidRDefault="002D2D2B" w:rsidP="002D2D2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name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the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academic</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discipline</w:t>
      </w:r>
      <w:r w:rsidRPr="004121A5">
        <w:rPr>
          <w:rFonts w:ascii="Times New Roman" w:hAnsi="Times New Roman" w:cs="Times New Roman"/>
          <w:b/>
          <w:sz w:val="28"/>
          <w:szCs w:val="28"/>
          <w:lang w:val="en-US"/>
        </w:rPr>
        <w:t>:</w:t>
      </w:r>
    </w:p>
    <w:p w14:paraId="359E9AFD" w14:textId="4037F223" w:rsidR="002D2D2B" w:rsidRDefault="002D2D2B" w:rsidP="002D2D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w:t>
      </w:r>
      <w:bookmarkStart w:id="0" w:name="_GoBack"/>
      <w:r w:rsidR="00413CF5" w:rsidRPr="00413CF5">
        <w:rPr>
          <w:rFonts w:ascii="Times New Roman" w:hAnsi="Times New Roman" w:cs="Times New Roman"/>
          <w:b/>
          <w:bCs/>
          <w:sz w:val="28"/>
          <w:szCs w:val="28"/>
          <w:lang w:val="en-US"/>
        </w:rPr>
        <w:t>Linguistics of Aphorism</w:t>
      </w:r>
      <w:bookmarkEnd w:id="0"/>
      <w:r>
        <w:rPr>
          <w:rFonts w:ascii="Times New Roman" w:hAnsi="Times New Roman" w:cs="Times New Roman"/>
          <w:b/>
          <w:sz w:val="28"/>
          <w:szCs w:val="28"/>
          <w:lang w:val="en-US"/>
        </w:rPr>
        <w:t>”</w:t>
      </w:r>
    </w:p>
    <w:p w14:paraId="06A85B2F" w14:textId="77777777" w:rsidR="004B1BFA" w:rsidRPr="004B1BFA" w:rsidRDefault="004B1BFA" w:rsidP="002D2D2B">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227"/>
        <w:gridCol w:w="6344"/>
      </w:tblGrid>
      <w:tr w:rsidR="002D2D2B" w:rsidRPr="004121A5" w14:paraId="3E63BBFB" w14:textId="77777777" w:rsidTr="007D47EA">
        <w:tc>
          <w:tcPr>
            <w:tcW w:w="3227" w:type="dxa"/>
          </w:tcPr>
          <w:p w14:paraId="20ACB214" w14:textId="77777777" w:rsidR="002D2D2B" w:rsidRPr="00050133" w:rsidRDefault="002D2D2B" w:rsidP="007D47EA">
            <w:pPr>
              <w:rPr>
                <w:rFonts w:ascii="Times New Roman" w:hAnsi="Times New Roman" w:cs="Times New Roman"/>
                <w:b/>
                <w:sz w:val="28"/>
                <w:szCs w:val="28"/>
                <w:lang w:val="en-US"/>
              </w:rPr>
            </w:pPr>
            <w:proofErr w:type="spellStart"/>
            <w:r w:rsidRPr="00293CA4">
              <w:rPr>
                <w:rFonts w:ascii="Times New Roman" w:hAnsi="Times New Roman" w:cs="Times New Roman"/>
                <w:b/>
                <w:sz w:val="28"/>
                <w:szCs w:val="28"/>
                <w:lang w:val="en-US"/>
              </w:rPr>
              <w:t>Speciality</w:t>
            </w:r>
            <w:proofErr w:type="spellEnd"/>
            <w:r w:rsidRPr="00293CA4">
              <w:rPr>
                <w:rFonts w:ascii="Times New Roman" w:hAnsi="Times New Roman" w:cs="Times New Roman"/>
                <w:b/>
                <w:sz w:val="28"/>
                <w:szCs w:val="28"/>
                <w:lang w:val="en-US"/>
              </w:rPr>
              <w:t xml:space="preserve"> code and name</w:t>
            </w:r>
          </w:p>
        </w:tc>
        <w:tc>
          <w:tcPr>
            <w:tcW w:w="6344" w:type="dxa"/>
          </w:tcPr>
          <w:p w14:paraId="1C387EC3" w14:textId="044278A4" w:rsidR="002D2D2B" w:rsidRPr="004121A5" w:rsidRDefault="00031782" w:rsidP="007D47EA">
            <w:pPr>
              <w:rPr>
                <w:rFonts w:ascii="Times New Roman" w:hAnsi="Times New Roman" w:cs="Times New Roman"/>
                <w:sz w:val="28"/>
                <w:szCs w:val="28"/>
                <w:lang w:val="be-BY"/>
              </w:rPr>
            </w:pPr>
            <w:r>
              <w:rPr>
                <w:rFonts w:ascii="Times New Roman" w:hAnsi="Times New Roman" w:cs="Times New Roman"/>
                <w:sz w:val="28"/>
                <w:szCs w:val="28"/>
              </w:rPr>
              <w:t>6-05-0232-04</w:t>
            </w:r>
            <w:r w:rsidRPr="005D3049">
              <w:rPr>
                <w:rFonts w:ascii="Times New Roman" w:hAnsi="Times New Roman" w:cs="Times New Roman"/>
                <w:sz w:val="28"/>
                <w:szCs w:val="28"/>
              </w:rPr>
              <w:t xml:space="preserve"> </w:t>
            </w:r>
            <w:r w:rsidR="002D2D2B">
              <w:rPr>
                <w:rFonts w:ascii="Times New Roman" w:hAnsi="Times New Roman" w:cs="Times New Roman"/>
                <w:sz w:val="28"/>
                <w:szCs w:val="28"/>
                <w:lang w:val="en-US"/>
              </w:rPr>
              <w:t>Romance</w:t>
            </w:r>
            <w:r w:rsidR="002D2D2B" w:rsidRPr="00050133">
              <w:rPr>
                <w:rFonts w:ascii="Times New Roman" w:hAnsi="Times New Roman" w:cs="Times New Roman"/>
                <w:sz w:val="28"/>
                <w:szCs w:val="28"/>
                <w:lang w:val="en-US"/>
              </w:rPr>
              <w:t xml:space="preserve"> </w:t>
            </w:r>
            <w:r w:rsidR="002D2D2B">
              <w:rPr>
                <w:rFonts w:ascii="Times New Roman" w:hAnsi="Times New Roman" w:cs="Times New Roman"/>
                <w:sz w:val="28"/>
                <w:szCs w:val="28"/>
                <w:lang w:val="en-US"/>
              </w:rPr>
              <w:t>Germanic Philology</w:t>
            </w:r>
          </w:p>
        </w:tc>
      </w:tr>
      <w:tr w:rsidR="002D2D2B" w14:paraId="5FA66956" w14:textId="77777777" w:rsidTr="007D47EA">
        <w:tc>
          <w:tcPr>
            <w:tcW w:w="3227" w:type="dxa"/>
          </w:tcPr>
          <w:p w14:paraId="132F6E6B" w14:textId="77777777" w:rsidR="002D2D2B" w:rsidRPr="00542AA3" w:rsidRDefault="002D2D2B" w:rsidP="007D47EA">
            <w:pPr>
              <w:rPr>
                <w:rFonts w:ascii="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4" w:type="dxa"/>
          </w:tcPr>
          <w:p w14:paraId="1DABB75F" w14:textId="4BBB25F5" w:rsidR="002D2D2B" w:rsidRPr="005D3049" w:rsidRDefault="00C40760" w:rsidP="007D47EA">
            <w:pPr>
              <w:rPr>
                <w:rFonts w:ascii="Times New Roman" w:hAnsi="Times New Roman" w:cs="Times New Roman"/>
                <w:sz w:val="28"/>
                <w:szCs w:val="28"/>
              </w:rPr>
            </w:pPr>
            <w:r>
              <w:rPr>
                <w:rFonts w:ascii="Times New Roman" w:hAnsi="Times New Roman" w:cs="Times New Roman"/>
                <w:sz w:val="28"/>
                <w:szCs w:val="28"/>
              </w:rPr>
              <w:t>2</w:t>
            </w:r>
          </w:p>
        </w:tc>
      </w:tr>
      <w:tr w:rsidR="002D2D2B" w14:paraId="79FB1614" w14:textId="77777777" w:rsidTr="007D47EA">
        <w:tc>
          <w:tcPr>
            <w:tcW w:w="3227" w:type="dxa"/>
          </w:tcPr>
          <w:p w14:paraId="0E24006E" w14:textId="77777777" w:rsidR="002D2D2B" w:rsidRPr="00542AA3" w:rsidRDefault="002D2D2B" w:rsidP="007D47EA">
            <w:pPr>
              <w:rPr>
                <w:rFonts w:ascii="Times New Roman" w:hAnsi="Times New Roman" w:cs="Times New Roman"/>
                <w:b/>
                <w:sz w:val="28"/>
                <w:szCs w:val="28"/>
                <w:lang w:val="en-US"/>
              </w:rPr>
            </w:pPr>
            <w:r>
              <w:rPr>
                <w:rFonts w:ascii="Times New Roman" w:hAnsi="Times New Roman" w:cs="Times New Roman"/>
                <w:b/>
                <w:sz w:val="28"/>
                <w:szCs w:val="28"/>
                <w:lang w:val="en-US"/>
              </w:rPr>
              <w:t xml:space="preserve">Academic semester </w:t>
            </w:r>
          </w:p>
        </w:tc>
        <w:tc>
          <w:tcPr>
            <w:tcW w:w="6344" w:type="dxa"/>
          </w:tcPr>
          <w:p w14:paraId="16313CED" w14:textId="1561CF87" w:rsidR="002D2D2B" w:rsidRPr="005D3049" w:rsidRDefault="00C40760" w:rsidP="007D47EA">
            <w:pPr>
              <w:rPr>
                <w:rFonts w:ascii="Times New Roman" w:hAnsi="Times New Roman" w:cs="Times New Roman"/>
                <w:sz w:val="28"/>
                <w:szCs w:val="28"/>
              </w:rPr>
            </w:pPr>
            <w:r>
              <w:rPr>
                <w:rFonts w:ascii="Times New Roman" w:hAnsi="Times New Roman" w:cs="Times New Roman"/>
                <w:sz w:val="28"/>
                <w:szCs w:val="28"/>
              </w:rPr>
              <w:t>3</w:t>
            </w:r>
          </w:p>
        </w:tc>
      </w:tr>
      <w:tr w:rsidR="002D2D2B" w14:paraId="57AC676D" w14:textId="77777777" w:rsidTr="007D47EA">
        <w:tc>
          <w:tcPr>
            <w:tcW w:w="3227" w:type="dxa"/>
          </w:tcPr>
          <w:p w14:paraId="308AF022" w14:textId="77777777" w:rsidR="002D2D2B" w:rsidRPr="00542AA3" w:rsidRDefault="002D2D2B" w:rsidP="007D47EA">
            <w:pPr>
              <w:rPr>
                <w:rFonts w:ascii="Times New Roman" w:hAnsi="Times New Roman" w:cs="Times New Roman"/>
                <w:b/>
                <w:sz w:val="28"/>
                <w:szCs w:val="28"/>
                <w:lang w:val="en-US"/>
              </w:rPr>
            </w:pPr>
            <w:r>
              <w:rPr>
                <w:rFonts w:ascii="Times New Roman" w:hAnsi="Times New Roman" w:cs="Times New Roman"/>
                <w:b/>
                <w:sz w:val="28"/>
                <w:szCs w:val="28"/>
                <w:lang w:val="en-US"/>
              </w:rPr>
              <w:t>Amount of classroom-based hours</w:t>
            </w:r>
            <w:r w:rsidRPr="00542AA3">
              <w:rPr>
                <w:rFonts w:ascii="Times New Roman" w:hAnsi="Times New Roman" w:cs="Times New Roman"/>
                <w:b/>
                <w:sz w:val="28"/>
                <w:szCs w:val="28"/>
                <w:lang w:val="en-US"/>
              </w:rPr>
              <w:t>:</w:t>
            </w:r>
          </w:p>
        </w:tc>
        <w:tc>
          <w:tcPr>
            <w:tcW w:w="6344" w:type="dxa"/>
          </w:tcPr>
          <w:p w14:paraId="5D2B0D5C" w14:textId="4C45C341" w:rsidR="002D2D2B" w:rsidRPr="005D3049" w:rsidRDefault="00C40760" w:rsidP="007D47EA">
            <w:pPr>
              <w:rPr>
                <w:rFonts w:ascii="Times New Roman" w:hAnsi="Times New Roman" w:cs="Times New Roman"/>
                <w:sz w:val="28"/>
                <w:szCs w:val="28"/>
              </w:rPr>
            </w:pPr>
            <w:r>
              <w:rPr>
                <w:rFonts w:ascii="Times New Roman" w:hAnsi="Times New Roman" w:cs="Times New Roman"/>
                <w:sz w:val="28"/>
                <w:szCs w:val="28"/>
              </w:rPr>
              <w:t>4</w:t>
            </w:r>
            <w:r w:rsidR="002D2D2B">
              <w:rPr>
                <w:rFonts w:ascii="Times New Roman" w:hAnsi="Times New Roman" w:cs="Times New Roman"/>
                <w:sz w:val="28"/>
                <w:szCs w:val="28"/>
              </w:rPr>
              <w:t>2</w:t>
            </w:r>
          </w:p>
        </w:tc>
      </w:tr>
      <w:tr w:rsidR="002D2D2B" w14:paraId="3C8151CE" w14:textId="77777777" w:rsidTr="007D47EA">
        <w:tc>
          <w:tcPr>
            <w:tcW w:w="3227" w:type="dxa"/>
            <w:vMerge w:val="restart"/>
          </w:tcPr>
          <w:p w14:paraId="0C0894BF" w14:textId="77777777" w:rsidR="002D2D2B" w:rsidRPr="00542AA3" w:rsidRDefault="002D2D2B" w:rsidP="007D47EA">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14:paraId="403F1630" w14:textId="77777777" w:rsidR="002D2D2B" w:rsidRPr="00542AA3" w:rsidRDefault="002D2D2B" w:rsidP="007D47EA">
            <w:pPr>
              <w:rPr>
                <w:rFonts w:ascii="Times New Roman" w:hAnsi="Times New Roman" w:cs="Times New Roman"/>
                <w:b/>
                <w:sz w:val="28"/>
                <w:szCs w:val="28"/>
                <w:lang w:val="en-US"/>
              </w:rPr>
            </w:pPr>
            <w:r>
              <w:rPr>
                <w:rFonts w:ascii="Times New Roman" w:hAnsi="Times New Roman" w:cs="Times New Roman"/>
                <w:b/>
                <w:sz w:val="28"/>
                <w:szCs w:val="28"/>
                <w:lang w:val="en-US"/>
              </w:rPr>
              <w:t>Seminar classes</w:t>
            </w:r>
            <w:r w:rsidRPr="00542AA3">
              <w:rPr>
                <w:rFonts w:ascii="Times New Roman" w:hAnsi="Times New Roman" w:cs="Times New Roman"/>
                <w:b/>
                <w:sz w:val="28"/>
                <w:szCs w:val="28"/>
                <w:lang w:val="en-US"/>
              </w:rPr>
              <w:t xml:space="preserve"> </w:t>
            </w:r>
          </w:p>
          <w:p w14:paraId="4F430F1F" w14:textId="77777777" w:rsidR="002D2D2B" w:rsidRPr="00542AA3" w:rsidRDefault="002D2D2B" w:rsidP="007D47EA">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14:paraId="5AA7F060" w14:textId="77777777" w:rsidR="002D2D2B" w:rsidRPr="00542AA3" w:rsidRDefault="002D2D2B" w:rsidP="007D47EA">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Pr>
          <w:p w14:paraId="77BD8417" w14:textId="2B3E238D" w:rsidR="002D2D2B" w:rsidRPr="005D3049" w:rsidRDefault="002D2D2B" w:rsidP="007D47EA">
            <w:pPr>
              <w:rPr>
                <w:rFonts w:ascii="Times New Roman" w:hAnsi="Times New Roman" w:cs="Times New Roman"/>
                <w:sz w:val="28"/>
                <w:szCs w:val="28"/>
              </w:rPr>
            </w:pPr>
            <w:r>
              <w:rPr>
                <w:rFonts w:ascii="Times New Roman" w:hAnsi="Times New Roman" w:cs="Times New Roman"/>
                <w:sz w:val="28"/>
                <w:szCs w:val="28"/>
              </w:rPr>
              <w:t>2</w:t>
            </w:r>
            <w:r w:rsidR="00C40760">
              <w:rPr>
                <w:rFonts w:ascii="Times New Roman" w:hAnsi="Times New Roman" w:cs="Times New Roman"/>
                <w:sz w:val="28"/>
                <w:szCs w:val="28"/>
              </w:rPr>
              <w:t>0</w:t>
            </w:r>
          </w:p>
        </w:tc>
      </w:tr>
      <w:tr w:rsidR="002D2D2B" w14:paraId="23AB0003" w14:textId="77777777" w:rsidTr="007D47EA">
        <w:tc>
          <w:tcPr>
            <w:tcW w:w="3227" w:type="dxa"/>
            <w:vMerge/>
          </w:tcPr>
          <w:p w14:paraId="482C1198" w14:textId="77777777" w:rsidR="002D2D2B" w:rsidRPr="004121A5" w:rsidRDefault="002D2D2B" w:rsidP="007D47EA">
            <w:pPr>
              <w:rPr>
                <w:rFonts w:ascii="Times New Roman" w:hAnsi="Times New Roman" w:cs="Times New Roman"/>
                <w:b/>
                <w:sz w:val="28"/>
                <w:szCs w:val="28"/>
                <w:lang w:val="en-US"/>
              </w:rPr>
            </w:pPr>
          </w:p>
        </w:tc>
        <w:tc>
          <w:tcPr>
            <w:tcW w:w="6344" w:type="dxa"/>
          </w:tcPr>
          <w:p w14:paraId="5DABD22D" w14:textId="6EA3AB83" w:rsidR="002D2D2B" w:rsidRPr="005D3049" w:rsidRDefault="002D2D2B" w:rsidP="007D47EA">
            <w:pPr>
              <w:rPr>
                <w:rFonts w:ascii="Times New Roman" w:hAnsi="Times New Roman" w:cs="Times New Roman"/>
                <w:sz w:val="28"/>
                <w:szCs w:val="28"/>
              </w:rPr>
            </w:pPr>
            <w:r>
              <w:rPr>
                <w:rFonts w:ascii="Times New Roman" w:hAnsi="Times New Roman" w:cs="Times New Roman"/>
                <w:sz w:val="28"/>
                <w:szCs w:val="28"/>
              </w:rPr>
              <w:t>2</w:t>
            </w:r>
            <w:r w:rsidR="00C40760">
              <w:rPr>
                <w:rFonts w:ascii="Times New Roman" w:hAnsi="Times New Roman" w:cs="Times New Roman"/>
                <w:sz w:val="28"/>
                <w:szCs w:val="28"/>
              </w:rPr>
              <w:t>2</w:t>
            </w:r>
          </w:p>
        </w:tc>
      </w:tr>
      <w:tr w:rsidR="002D2D2B" w14:paraId="576DD750" w14:textId="77777777" w:rsidTr="007D47EA">
        <w:tc>
          <w:tcPr>
            <w:tcW w:w="3227" w:type="dxa"/>
            <w:vMerge/>
          </w:tcPr>
          <w:p w14:paraId="722C29A3" w14:textId="77777777" w:rsidR="002D2D2B" w:rsidRPr="004121A5" w:rsidRDefault="002D2D2B" w:rsidP="007D47EA">
            <w:pPr>
              <w:rPr>
                <w:rFonts w:ascii="Times New Roman" w:hAnsi="Times New Roman" w:cs="Times New Roman"/>
                <w:b/>
                <w:sz w:val="28"/>
                <w:szCs w:val="28"/>
                <w:lang w:val="en-US"/>
              </w:rPr>
            </w:pPr>
          </w:p>
        </w:tc>
        <w:tc>
          <w:tcPr>
            <w:tcW w:w="6344" w:type="dxa"/>
          </w:tcPr>
          <w:p w14:paraId="2346350C" w14:textId="77777777" w:rsidR="002D2D2B" w:rsidRPr="005D3049" w:rsidRDefault="002D2D2B" w:rsidP="007D47EA">
            <w:pPr>
              <w:rPr>
                <w:rFonts w:ascii="Times New Roman" w:hAnsi="Times New Roman" w:cs="Times New Roman"/>
                <w:sz w:val="28"/>
                <w:szCs w:val="28"/>
              </w:rPr>
            </w:pPr>
            <w:r>
              <w:rPr>
                <w:rFonts w:ascii="Times New Roman" w:hAnsi="Times New Roman" w:cs="Times New Roman"/>
                <w:sz w:val="28"/>
                <w:szCs w:val="28"/>
              </w:rPr>
              <w:t>-</w:t>
            </w:r>
          </w:p>
        </w:tc>
      </w:tr>
      <w:tr w:rsidR="002D2D2B" w14:paraId="1FC92C9D" w14:textId="77777777" w:rsidTr="007D47EA">
        <w:tc>
          <w:tcPr>
            <w:tcW w:w="3227" w:type="dxa"/>
            <w:vMerge/>
          </w:tcPr>
          <w:p w14:paraId="2BE9FC9E" w14:textId="77777777" w:rsidR="002D2D2B" w:rsidRPr="004121A5" w:rsidRDefault="002D2D2B" w:rsidP="007D47EA">
            <w:pPr>
              <w:rPr>
                <w:rFonts w:ascii="Times New Roman" w:hAnsi="Times New Roman" w:cs="Times New Roman"/>
                <w:b/>
                <w:sz w:val="28"/>
                <w:szCs w:val="28"/>
                <w:lang w:val="en-US"/>
              </w:rPr>
            </w:pPr>
          </w:p>
        </w:tc>
        <w:tc>
          <w:tcPr>
            <w:tcW w:w="6344" w:type="dxa"/>
          </w:tcPr>
          <w:p w14:paraId="4A8D0A19" w14:textId="77777777" w:rsidR="002D2D2B" w:rsidRPr="005D3049" w:rsidRDefault="002D2D2B" w:rsidP="007D47EA">
            <w:pPr>
              <w:rPr>
                <w:rFonts w:ascii="Times New Roman" w:hAnsi="Times New Roman" w:cs="Times New Roman"/>
                <w:sz w:val="28"/>
                <w:szCs w:val="28"/>
              </w:rPr>
            </w:pPr>
            <w:r>
              <w:rPr>
                <w:rFonts w:ascii="Times New Roman" w:hAnsi="Times New Roman" w:cs="Times New Roman"/>
                <w:sz w:val="28"/>
                <w:szCs w:val="28"/>
              </w:rPr>
              <w:t>-</w:t>
            </w:r>
          </w:p>
        </w:tc>
      </w:tr>
      <w:tr w:rsidR="002D2D2B" w14:paraId="55B7EB7B" w14:textId="77777777" w:rsidTr="007D47EA">
        <w:tc>
          <w:tcPr>
            <w:tcW w:w="3227" w:type="dxa"/>
          </w:tcPr>
          <w:p w14:paraId="03C13A1D" w14:textId="10C0377D" w:rsidR="002D2D2B" w:rsidRPr="00542AA3" w:rsidRDefault="002D2D2B" w:rsidP="007D47EA">
            <w:pPr>
              <w:rPr>
                <w:rFonts w:ascii="Times New Roman" w:hAnsi="Times New Roman" w:cs="Times New Roman"/>
                <w:b/>
                <w:sz w:val="28"/>
                <w:szCs w:val="28"/>
                <w:lang w:val="en-US"/>
              </w:rPr>
            </w:pPr>
            <w:r>
              <w:rPr>
                <w:rFonts w:ascii="Times New Roman" w:hAnsi="Times New Roman" w:cs="Times New Roman"/>
                <w:b/>
                <w:sz w:val="28"/>
                <w:szCs w:val="28"/>
                <w:lang w:val="en-US"/>
              </w:rPr>
              <w:t>Form</w:t>
            </w:r>
            <w:r w:rsidRPr="00542AA3">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542AA3">
              <w:rPr>
                <w:rFonts w:ascii="Times New Roman" w:hAnsi="Times New Roman" w:cs="Times New Roman"/>
                <w:b/>
                <w:sz w:val="28"/>
                <w:szCs w:val="28"/>
                <w:lang w:val="en-US"/>
              </w:rPr>
              <w:t xml:space="preserve"> </w:t>
            </w:r>
            <w:r w:rsidR="00544BA8">
              <w:rPr>
                <w:rFonts w:ascii="Times New Roman" w:hAnsi="Times New Roman" w:cs="Times New Roman"/>
                <w:b/>
                <w:sz w:val="28"/>
                <w:szCs w:val="28"/>
                <w:lang w:val="en-US"/>
              </w:rPr>
              <w:t xml:space="preserve">intermediate </w:t>
            </w:r>
            <w:r>
              <w:rPr>
                <w:rFonts w:ascii="Times New Roman" w:hAnsi="Times New Roman" w:cs="Times New Roman"/>
                <w:b/>
                <w:sz w:val="28"/>
                <w:szCs w:val="28"/>
                <w:lang w:val="en-US"/>
              </w:rPr>
              <w:t>certification</w:t>
            </w:r>
            <w:r w:rsidRPr="00542AA3">
              <w:rPr>
                <w:rFonts w:ascii="Times New Roman" w:hAnsi="Times New Roman" w:cs="Times New Roman"/>
                <w:b/>
                <w:sz w:val="28"/>
                <w:szCs w:val="28"/>
                <w:lang w:val="en-US"/>
              </w:rPr>
              <w:t xml:space="preserve"> (</w:t>
            </w:r>
            <w:r>
              <w:rPr>
                <w:rFonts w:ascii="Times New Roman" w:hAnsi="Times New Roman" w:cs="Times New Roman"/>
                <w:b/>
                <w:i/>
                <w:sz w:val="28"/>
                <w:szCs w:val="28"/>
                <w:lang w:val="en-US"/>
              </w:rPr>
              <w:t>credit</w:t>
            </w:r>
            <w:r w:rsidRPr="00542AA3">
              <w:rPr>
                <w:rFonts w:ascii="Times New Roman" w:hAnsi="Times New Roman" w:cs="Times New Roman"/>
                <w:b/>
                <w:i/>
                <w:sz w:val="28"/>
                <w:szCs w:val="28"/>
                <w:lang w:val="en-US"/>
              </w:rPr>
              <w:t xml:space="preserve">/ </w:t>
            </w:r>
            <w:r w:rsidRPr="00E41CD3">
              <w:rPr>
                <w:rFonts w:ascii="Times New Roman" w:hAnsi="Times New Roman" w:cs="Times New Roman"/>
                <w:b/>
                <w:i/>
                <w:sz w:val="28"/>
                <w:szCs w:val="28"/>
                <w:lang w:val="en-US"/>
              </w:rPr>
              <w:t>graded credit</w:t>
            </w:r>
            <w:r w:rsidRPr="00542AA3">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exam</w:t>
            </w:r>
            <w:r w:rsidRPr="00542AA3">
              <w:rPr>
                <w:rFonts w:ascii="Times New Roman" w:hAnsi="Times New Roman" w:cs="Times New Roman"/>
                <w:b/>
                <w:sz w:val="28"/>
                <w:szCs w:val="28"/>
                <w:lang w:val="en-US"/>
              </w:rPr>
              <w:t>)</w:t>
            </w:r>
          </w:p>
        </w:tc>
        <w:tc>
          <w:tcPr>
            <w:tcW w:w="6344" w:type="dxa"/>
          </w:tcPr>
          <w:p w14:paraId="26DF0B0E" w14:textId="6AB2FA3B" w:rsidR="002D2D2B" w:rsidRPr="004121A5" w:rsidRDefault="00C40760" w:rsidP="007D47EA">
            <w:pPr>
              <w:rPr>
                <w:rFonts w:ascii="Times New Roman" w:hAnsi="Times New Roman" w:cs="Times New Roman"/>
                <w:sz w:val="28"/>
                <w:szCs w:val="28"/>
                <w:lang w:val="en-US"/>
              </w:rPr>
            </w:pPr>
            <w:r w:rsidRPr="00947713">
              <w:rPr>
                <w:rFonts w:ascii="Times New Roman" w:hAnsi="Times New Roman" w:cs="Times New Roman"/>
                <w:sz w:val="28"/>
                <w:szCs w:val="28"/>
                <w:lang w:val="en-US"/>
              </w:rPr>
              <w:t>credit</w:t>
            </w:r>
          </w:p>
        </w:tc>
      </w:tr>
      <w:tr w:rsidR="002D2D2B" w14:paraId="1E7A2BCB" w14:textId="77777777" w:rsidTr="007D47EA">
        <w:tc>
          <w:tcPr>
            <w:tcW w:w="3227" w:type="dxa"/>
          </w:tcPr>
          <w:p w14:paraId="0BD1ADE5" w14:textId="5E902775" w:rsidR="002D2D2B" w:rsidRPr="00B27E11" w:rsidRDefault="00544BA8" w:rsidP="007D47EA">
            <w:pPr>
              <w:rPr>
                <w:rFonts w:ascii="Times New Roman" w:hAnsi="Times New Roman" w:cs="Times New Roman"/>
                <w:b/>
                <w:sz w:val="28"/>
                <w:szCs w:val="28"/>
                <w:lang w:val="en-US"/>
              </w:rPr>
            </w:pPr>
            <w:r>
              <w:rPr>
                <w:rFonts w:ascii="Times New Roman" w:hAnsi="Times New Roman" w:cs="Times New Roman"/>
                <w:b/>
                <w:sz w:val="28"/>
                <w:szCs w:val="28"/>
                <w:lang w:val="en-US"/>
              </w:rPr>
              <w:t>Number</w:t>
            </w:r>
            <w:r w:rsidR="002D2D2B">
              <w:rPr>
                <w:rFonts w:ascii="Times New Roman" w:hAnsi="Times New Roman" w:cs="Times New Roman"/>
                <w:b/>
                <w:sz w:val="28"/>
                <w:szCs w:val="28"/>
                <w:lang w:val="en-US"/>
              </w:rPr>
              <w:t xml:space="preserve"> of credit hours</w:t>
            </w:r>
          </w:p>
        </w:tc>
        <w:tc>
          <w:tcPr>
            <w:tcW w:w="6344" w:type="dxa"/>
          </w:tcPr>
          <w:p w14:paraId="0608E65D" w14:textId="05199D7E" w:rsidR="002D2D2B" w:rsidRPr="005D3049" w:rsidRDefault="00031782" w:rsidP="007D47EA">
            <w:pPr>
              <w:rPr>
                <w:rFonts w:ascii="Times New Roman" w:hAnsi="Times New Roman" w:cs="Times New Roman"/>
                <w:sz w:val="28"/>
                <w:szCs w:val="28"/>
              </w:rPr>
            </w:pPr>
            <w:r>
              <w:rPr>
                <w:rFonts w:ascii="Times New Roman" w:hAnsi="Times New Roman" w:cs="Times New Roman"/>
                <w:sz w:val="28"/>
                <w:szCs w:val="28"/>
              </w:rPr>
              <w:t>3</w:t>
            </w:r>
          </w:p>
        </w:tc>
      </w:tr>
      <w:tr w:rsidR="002D2D2B" w:rsidRPr="00B540E7" w14:paraId="3282AB1C" w14:textId="77777777" w:rsidTr="007D47EA">
        <w:tc>
          <w:tcPr>
            <w:tcW w:w="3227" w:type="dxa"/>
          </w:tcPr>
          <w:p w14:paraId="4FEED274" w14:textId="0D6B609F" w:rsidR="002D2D2B" w:rsidRPr="00B27E11" w:rsidRDefault="00544BA8" w:rsidP="007D47EA">
            <w:pPr>
              <w:rPr>
                <w:rFonts w:ascii="Times New Roman" w:hAnsi="Times New Roman" w:cs="Times New Roman"/>
                <w:b/>
                <w:sz w:val="28"/>
                <w:szCs w:val="28"/>
                <w:lang w:val="en-US"/>
              </w:rPr>
            </w:pPr>
            <w:proofErr w:type="spellStart"/>
            <w:r>
              <w:rPr>
                <w:rFonts w:ascii="Times New Roman" w:hAnsi="Times New Roman" w:cs="Times New Roman"/>
                <w:b/>
                <w:sz w:val="28"/>
                <w:szCs w:val="28"/>
              </w:rPr>
              <w:t>Competencies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formed</w:t>
            </w:r>
            <w:proofErr w:type="spellEnd"/>
          </w:p>
        </w:tc>
        <w:tc>
          <w:tcPr>
            <w:tcW w:w="6344" w:type="dxa"/>
          </w:tcPr>
          <w:p w14:paraId="180C7F77" w14:textId="5C878B05" w:rsidR="002D2D2B" w:rsidRPr="004121A5" w:rsidRDefault="002D2D2B" w:rsidP="007D47EA">
            <w:pPr>
              <w:jc w:val="both"/>
              <w:rPr>
                <w:rFonts w:ascii="Times New Roman" w:hAnsi="Times New Roman" w:cs="Times New Roman"/>
                <w:sz w:val="28"/>
                <w:szCs w:val="28"/>
                <w:lang w:val="en-US"/>
              </w:rPr>
            </w:pPr>
            <w:r w:rsidRPr="002D2D2B">
              <w:rPr>
                <w:rFonts w:ascii="Times New Roman" w:hAnsi="Times New Roman" w:cs="Times New Roman"/>
                <w:sz w:val="28"/>
                <w:szCs w:val="28"/>
                <w:lang w:val="en-US"/>
              </w:rPr>
              <w:t>The student must know the current issues, the most priority areas and achievements of the linguistics of aphorism as a direction of modern linguistics. The student should be able to navigate the main studies and views of domestic and foreign linguists devoted to the study of the linguistic nature of aphorism. The student should be able to apply the acquired theoret</w:t>
            </w:r>
            <w:r w:rsidRPr="002D2D2B">
              <w:rPr>
                <w:rFonts w:ascii="Times New Roman" w:hAnsi="Times New Roman" w:cs="Times New Roman"/>
                <w:sz w:val="28"/>
                <w:szCs w:val="28"/>
                <w:lang w:val="en-US"/>
              </w:rPr>
              <w:t>i</w:t>
            </w:r>
            <w:r w:rsidRPr="002D2D2B">
              <w:rPr>
                <w:rFonts w:ascii="Times New Roman" w:hAnsi="Times New Roman" w:cs="Times New Roman"/>
                <w:sz w:val="28"/>
                <w:szCs w:val="28"/>
                <w:lang w:val="en-US"/>
              </w:rPr>
              <w:t xml:space="preserve">cal knowledge about aphoristic units of language and speech for applied purposes </w:t>
            </w:r>
            <w:r>
              <w:rPr>
                <w:rFonts w:ascii="Times New Roman" w:hAnsi="Times New Roman" w:cs="Times New Roman"/>
                <w:sz w:val="28"/>
                <w:szCs w:val="28"/>
                <w:lang w:val="en-US"/>
              </w:rPr>
              <w:t>–</w:t>
            </w:r>
            <w:r w:rsidRPr="002D2D2B">
              <w:rPr>
                <w:rFonts w:ascii="Times New Roman" w:hAnsi="Times New Roman" w:cs="Times New Roman"/>
                <w:sz w:val="28"/>
                <w:szCs w:val="28"/>
                <w:lang w:val="en-US"/>
              </w:rPr>
              <w:t xml:space="preserve"> when editing texts, in the methodology of teaching a foreign language, in translation, etc</w:t>
            </w:r>
            <w:r w:rsidRPr="004121A5">
              <w:rPr>
                <w:rFonts w:ascii="Times New Roman" w:hAnsi="Times New Roman" w:cs="Times New Roman"/>
                <w:sz w:val="28"/>
                <w:szCs w:val="28"/>
                <w:lang w:val="en-US"/>
              </w:rPr>
              <w:t>.</w:t>
            </w:r>
          </w:p>
        </w:tc>
      </w:tr>
      <w:tr w:rsidR="002D2D2B" w:rsidRPr="00B540E7" w14:paraId="50AC7C83" w14:textId="77777777" w:rsidTr="007D47EA">
        <w:tc>
          <w:tcPr>
            <w:tcW w:w="9571" w:type="dxa"/>
            <w:gridSpan w:val="2"/>
          </w:tcPr>
          <w:p w14:paraId="59EB1176" w14:textId="77777777" w:rsidR="002D2D2B" w:rsidRPr="00413CF5" w:rsidRDefault="002D2D2B" w:rsidP="007D47EA">
            <w:pPr>
              <w:jc w:val="center"/>
              <w:rPr>
                <w:rFonts w:ascii="Times New Roman" w:hAnsi="Times New Roman" w:cs="Times New Roman"/>
                <w:b/>
                <w:sz w:val="28"/>
                <w:szCs w:val="28"/>
                <w:lang w:val="en-US"/>
              </w:rPr>
            </w:pPr>
            <w:r w:rsidRPr="00413CF5">
              <w:rPr>
                <w:rFonts w:ascii="Times New Roman" w:hAnsi="Times New Roman" w:cs="Times New Roman"/>
                <w:b/>
                <w:sz w:val="28"/>
                <w:szCs w:val="28"/>
                <w:lang w:val="en-US"/>
              </w:rPr>
              <w:t>Summary of the academic discipline:</w:t>
            </w:r>
          </w:p>
          <w:p w14:paraId="2A09AFDD" w14:textId="6CD1A295" w:rsidR="002D2D2B" w:rsidRPr="00413CF5" w:rsidRDefault="002D2D2B" w:rsidP="007D47EA">
            <w:pPr>
              <w:shd w:val="clear" w:color="auto" w:fill="FFFFFF"/>
              <w:ind w:firstLine="703"/>
              <w:jc w:val="both"/>
              <w:outlineLvl w:val="0"/>
              <w:rPr>
                <w:rFonts w:ascii="Times New Roman" w:hAnsi="Times New Roman" w:cs="Times New Roman"/>
                <w:sz w:val="28"/>
                <w:szCs w:val="28"/>
                <w:lang w:val="en-US"/>
              </w:rPr>
            </w:pPr>
            <w:r w:rsidRPr="00413CF5">
              <w:rPr>
                <w:rFonts w:ascii="Times New Roman" w:hAnsi="Times New Roman" w:cs="Times New Roman"/>
                <w:sz w:val="28"/>
                <w:szCs w:val="28"/>
                <w:lang w:val="en-US"/>
              </w:rPr>
              <w:t>The structure of the academic discipline "Linguistics of Aphorism" has a systemic character, includes six interrelated sections: the first section "Introduction to Linguistics of Aphorism"; the second section "Aphorism as a subject of philol</w:t>
            </w:r>
            <w:r w:rsidRPr="00413CF5">
              <w:rPr>
                <w:rFonts w:ascii="Times New Roman" w:hAnsi="Times New Roman" w:cs="Times New Roman"/>
                <w:sz w:val="28"/>
                <w:szCs w:val="28"/>
                <w:lang w:val="en-US"/>
              </w:rPr>
              <w:t>o</w:t>
            </w:r>
            <w:r w:rsidRPr="00413CF5">
              <w:rPr>
                <w:rFonts w:ascii="Times New Roman" w:hAnsi="Times New Roman" w:cs="Times New Roman"/>
                <w:sz w:val="28"/>
                <w:szCs w:val="28"/>
                <w:lang w:val="en-US"/>
              </w:rPr>
              <w:t>gy and an object of linguistics"; the third section "The main types of aphoristic units"; fourth section "Semantics of aphoristic units"; fifth section "Structure and methods of derivation of aphoristic units"; the sixth section "Lexicography of ap</w:t>
            </w:r>
            <w:r w:rsidRPr="00413CF5">
              <w:rPr>
                <w:rFonts w:ascii="Times New Roman" w:hAnsi="Times New Roman" w:cs="Times New Roman"/>
                <w:sz w:val="28"/>
                <w:szCs w:val="28"/>
                <w:lang w:val="en-US"/>
              </w:rPr>
              <w:t>h</w:t>
            </w:r>
            <w:r w:rsidRPr="00413CF5">
              <w:rPr>
                <w:rFonts w:ascii="Times New Roman" w:hAnsi="Times New Roman" w:cs="Times New Roman"/>
                <w:sz w:val="28"/>
                <w:szCs w:val="28"/>
                <w:lang w:val="en-US"/>
              </w:rPr>
              <w:t>oristic units". The content of the academic discipline is devoted to the consider</w:t>
            </w:r>
            <w:r w:rsidRPr="00413CF5">
              <w:rPr>
                <w:rFonts w:ascii="Times New Roman" w:hAnsi="Times New Roman" w:cs="Times New Roman"/>
                <w:sz w:val="28"/>
                <w:szCs w:val="28"/>
                <w:lang w:val="en-US"/>
              </w:rPr>
              <w:t>a</w:t>
            </w:r>
            <w:r w:rsidRPr="00413CF5">
              <w:rPr>
                <w:rFonts w:ascii="Times New Roman" w:hAnsi="Times New Roman" w:cs="Times New Roman"/>
                <w:sz w:val="28"/>
                <w:szCs w:val="28"/>
                <w:lang w:val="en-US"/>
              </w:rPr>
              <w:t xml:space="preserve">tion of the place of aphorism as a specific product and symbolic means of verbal and mental activity in the process of cognition and communication. </w:t>
            </w:r>
            <w:r w:rsidR="00413CF5" w:rsidRPr="00413CF5">
              <w:rPr>
                <w:rStyle w:val="q4iawc"/>
                <w:rFonts w:ascii="Times New Roman" w:hAnsi="Times New Roman" w:cs="Times New Roman"/>
                <w:sz w:val="28"/>
                <w:szCs w:val="28"/>
                <w:lang w:val="en"/>
              </w:rPr>
              <w:t>Aphorism is considered as a special field of science, its epistemological and methodological heterogeneity is described</w:t>
            </w:r>
            <w:r w:rsidRPr="00413CF5">
              <w:rPr>
                <w:rFonts w:ascii="Times New Roman" w:hAnsi="Times New Roman" w:cs="Times New Roman"/>
                <w:sz w:val="28"/>
                <w:szCs w:val="28"/>
                <w:lang w:val="en-US"/>
              </w:rPr>
              <w:t>.</w:t>
            </w:r>
          </w:p>
        </w:tc>
      </w:tr>
    </w:tbl>
    <w:p w14:paraId="04319585" w14:textId="77777777" w:rsidR="002D2D2B" w:rsidRPr="004121A5" w:rsidRDefault="002D2D2B" w:rsidP="002D2D2B">
      <w:pPr>
        <w:rPr>
          <w:rFonts w:ascii="Times New Roman" w:hAnsi="Times New Roman" w:cs="Times New Roman"/>
          <w:b/>
          <w:sz w:val="28"/>
          <w:szCs w:val="28"/>
          <w:lang w:val="en-US"/>
        </w:rPr>
      </w:pPr>
    </w:p>
    <w:sectPr w:rsidR="002D2D2B" w:rsidRPr="00412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1782"/>
    <w:rsid w:val="00095E27"/>
    <w:rsid w:val="000A4978"/>
    <w:rsid w:val="00103D86"/>
    <w:rsid w:val="0016054E"/>
    <w:rsid w:val="002B7BA5"/>
    <w:rsid w:val="002D2D2B"/>
    <w:rsid w:val="00413CF5"/>
    <w:rsid w:val="004B1BFA"/>
    <w:rsid w:val="00544BA8"/>
    <w:rsid w:val="00567CFD"/>
    <w:rsid w:val="005D3049"/>
    <w:rsid w:val="005F439D"/>
    <w:rsid w:val="00611C00"/>
    <w:rsid w:val="006970AB"/>
    <w:rsid w:val="006C0671"/>
    <w:rsid w:val="0079340F"/>
    <w:rsid w:val="00833CF4"/>
    <w:rsid w:val="008C4553"/>
    <w:rsid w:val="009A4618"/>
    <w:rsid w:val="00A466A9"/>
    <w:rsid w:val="00B540E7"/>
    <w:rsid w:val="00C40760"/>
    <w:rsid w:val="00C54466"/>
    <w:rsid w:val="00CC7B58"/>
    <w:rsid w:val="00DF31DC"/>
    <w:rsid w:val="00E47BC7"/>
    <w:rsid w:val="00E648C1"/>
    <w:rsid w:val="00E9296C"/>
    <w:rsid w:val="00F32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a0"/>
    <w:rsid w:val="00C407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a0"/>
    <w:rsid w:val="00C4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5E12F-B1F0-4186-AA75-47232FC1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2021-12-03T07:07:00Z</cp:lastPrinted>
  <dcterms:created xsi:type="dcterms:W3CDTF">2021-12-03T06:16:00Z</dcterms:created>
  <dcterms:modified xsi:type="dcterms:W3CDTF">2025-04-16T07:30:00Z</dcterms:modified>
</cp:coreProperties>
</file>