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E4E" w:rsidRPr="00C87E4E" w:rsidRDefault="00693BC3" w:rsidP="00C87E4E">
      <w:pPr>
        <w:spacing w:after="0" w:line="240" w:lineRule="auto"/>
        <w:jc w:val="center"/>
        <w:rPr>
          <w:b/>
          <w:color w:val="auto"/>
          <w:sz w:val="26"/>
          <w:szCs w:val="26"/>
          <w:lang w:val="en-US"/>
        </w:rPr>
      </w:pPr>
      <w:r>
        <w:rPr>
          <w:b/>
          <w:color w:val="auto"/>
          <w:sz w:val="26"/>
          <w:szCs w:val="26"/>
          <w:lang w:val="en-US"/>
        </w:rPr>
        <w:t>The n</w:t>
      </w:r>
      <w:r w:rsidR="00C87E4E" w:rsidRPr="00C87E4E">
        <w:rPr>
          <w:b/>
          <w:color w:val="auto"/>
          <w:sz w:val="26"/>
          <w:szCs w:val="26"/>
          <w:lang w:val="en-US"/>
        </w:rPr>
        <w:t>ame of the academic discipline:</w:t>
      </w:r>
    </w:p>
    <w:p w:rsidR="00C87E4E" w:rsidRPr="00693BC3" w:rsidRDefault="00693BC3" w:rsidP="00C87E4E">
      <w:pPr>
        <w:spacing w:after="0" w:line="240" w:lineRule="auto"/>
        <w:jc w:val="center"/>
        <w:rPr>
          <w:b/>
          <w:color w:val="auto"/>
          <w:sz w:val="26"/>
          <w:szCs w:val="26"/>
          <w:lang w:val="en-US"/>
        </w:rPr>
      </w:pPr>
      <w:r>
        <w:rPr>
          <w:b/>
          <w:color w:val="auto"/>
          <w:sz w:val="26"/>
          <w:szCs w:val="26"/>
          <w:lang w:val="en-US"/>
        </w:rPr>
        <w:t>“</w:t>
      </w:r>
      <w:bookmarkStart w:id="0" w:name="_GoBack"/>
      <w:proofErr w:type="spellStart"/>
      <w:r w:rsidR="00C87E4E" w:rsidRPr="00C87E4E">
        <w:rPr>
          <w:b/>
          <w:color w:val="auto"/>
          <w:sz w:val="26"/>
          <w:szCs w:val="26"/>
        </w:rPr>
        <w:t>Theoretical</w:t>
      </w:r>
      <w:proofErr w:type="spellEnd"/>
      <w:r w:rsidR="00C87E4E" w:rsidRPr="00C87E4E">
        <w:rPr>
          <w:b/>
          <w:color w:val="auto"/>
          <w:sz w:val="26"/>
          <w:szCs w:val="26"/>
        </w:rPr>
        <w:t xml:space="preserve"> </w:t>
      </w:r>
      <w:proofErr w:type="spellStart"/>
      <w:r w:rsidR="00C87E4E" w:rsidRPr="00C87E4E">
        <w:rPr>
          <w:b/>
          <w:color w:val="auto"/>
          <w:sz w:val="26"/>
          <w:szCs w:val="26"/>
        </w:rPr>
        <w:t>foundations</w:t>
      </w:r>
      <w:proofErr w:type="spellEnd"/>
      <w:r w:rsidR="00C87E4E" w:rsidRPr="00C87E4E">
        <w:rPr>
          <w:b/>
          <w:color w:val="auto"/>
          <w:sz w:val="26"/>
          <w:szCs w:val="26"/>
        </w:rPr>
        <w:t xml:space="preserve"> </w:t>
      </w:r>
      <w:proofErr w:type="spellStart"/>
      <w:r w:rsidR="00C87E4E" w:rsidRPr="00C87E4E">
        <w:rPr>
          <w:b/>
          <w:color w:val="auto"/>
          <w:sz w:val="26"/>
          <w:szCs w:val="26"/>
        </w:rPr>
        <w:t>of</w:t>
      </w:r>
      <w:proofErr w:type="spellEnd"/>
      <w:r w:rsidR="00C87E4E" w:rsidRPr="00C87E4E">
        <w:rPr>
          <w:b/>
          <w:color w:val="auto"/>
          <w:sz w:val="26"/>
          <w:szCs w:val="26"/>
        </w:rPr>
        <w:t xml:space="preserve"> </w:t>
      </w:r>
      <w:r w:rsidR="00C854EF">
        <w:rPr>
          <w:b/>
          <w:color w:val="auto"/>
          <w:sz w:val="26"/>
          <w:szCs w:val="26"/>
          <w:lang w:val="en-US"/>
        </w:rPr>
        <w:t>upbringing</w:t>
      </w:r>
      <w:bookmarkEnd w:id="0"/>
      <w:r>
        <w:rPr>
          <w:b/>
          <w:color w:val="auto"/>
          <w:sz w:val="26"/>
          <w:szCs w:val="26"/>
          <w:lang w:val="en-US"/>
        </w:rPr>
        <w:t>”</w:t>
      </w:r>
    </w:p>
    <w:p w:rsidR="00C87E4E" w:rsidRPr="00C87E4E" w:rsidRDefault="00C87E4E" w:rsidP="00C87E4E">
      <w:pPr>
        <w:spacing w:after="0" w:line="240" w:lineRule="auto"/>
        <w:jc w:val="center"/>
        <w:rPr>
          <w:b/>
          <w:color w:val="auto"/>
          <w:sz w:val="26"/>
          <w:szCs w:val="26"/>
          <w:lang w:val="en-US"/>
        </w:rPr>
      </w:pPr>
    </w:p>
    <w:tbl>
      <w:tblPr>
        <w:tblStyle w:val="a3"/>
        <w:tblW w:w="0" w:type="auto"/>
        <w:tblLook w:val="04A0" w:firstRow="1" w:lastRow="0" w:firstColumn="1" w:lastColumn="0" w:noHBand="0" w:noVBand="1"/>
      </w:tblPr>
      <w:tblGrid>
        <w:gridCol w:w="3212"/>
        <w:gridCol w:w="6133"/>
      </w:tblGrid>
      <w:tr w:rsidR="00C87E4E" w:rsidRPr="00E55ED6" w:rsidTr="00C87E4E">
        <w:tc>
          <w:tcPr>
            <w:tcW w:w="3212" w:type="dxa"/>
            <w:tcBorders>
              <w:top w:val="single" w:sz="4" w:space="0" w:color="auto"/>
              <w:left w:val="single" w:sz="4" w:space="0" w:color="auto"/>
              <w:bottom w:val="single" w:sz="4" w:space="0" w:color="auto"/>
              <w:right w:val="single" w:sz="4" w:space="0" w:color="auto"/>
            </w:tcBorders>
          </w:tcPr>
          <w:p w:rsidR="00C87E4E" w:rsidRPr="008A533F" w:rsidRDefault="00C87E4E" w:rsidP="00C87E4E">
            <w:pPr>
              <w:spacing w:after="0" w:line="240" w:lineRule="auto"/>
              <w:rPr>
                <w:b/>
                <w:color w:val="auto"/>
                <w:sz w:val="26"/>
                <w:szCs w:val="26"/>
              </w:rPr>
            </w:pPr>
            <w:r w:rsidRPr="008A533F">
              <w:rPr>
                <w:rStyle w:val="a4"/>
                <w:sz w:val="26"/>
                <w:szCs w:val="26"/>
                <w:shd w:val="clear" w:color="auto" w:fill="FFFFFF"/>
                <w:lang w:val="en-US"/>
              </w:rPr>
              <w:t>Specialty code and name</w:t>
            </w:r>
          </w:p>
        </w:tc>
        <w:tc>
          <w:tcPr>
            <w:tcW w:w="6133" w:type="dxa"/>
          </w:tcPr>
          <w:p w:rsidR="00C87E4E" w:rsidRPr="00E55ED6" w:rsidRDefault="00C87E4E" w:rsidP="00C87E4E">
            <w:pPr>
              <w:spacing w:after="0" w:line="240" w:lineRule="auto"/>
              <w:rPr>
                <w:color w:val="auto"/>
                <w:sz w:val="26"/>
                <w:szCs w:val="26"/>
              </w:rPr>
            </w:pPr>
            <w:r w:rsidRPr="00E55ED6">
              <w:rPr>
                <w:color w:val="auto"/>
                <w:sz w:val="26"/>
                <w:szCs w:val="26"/>
              </w:rPr>
              <w:t xml:space="preserve">6-05-0112- 02 </w:t>
            </w:r>
            <w:proofErr w:type="spellStart"/>
            <w:r w:rsidRPr="00C87E4E">
              <w:rPr>
                <w:color w:val="auto"/>
                <w:sz w:val="26"/>
                <w:szCs w:val="26"/>
              </w:rPr>
              <w:t>Primary</w:t>
            </w:r>
            <w:proofErr w:type="spellEnd"/>
            <w:r w:rsidRPr="00C87E4E">
              <w:rPr>
                <w:color w:val="auto"/>
                <w:sz w:val="26"/>
                <w:szCs w:val="26"/>
              </w:rPr>
              <w:t xml:space="preserve"> </w:t>
            </w:r>
            <w:proofErr w:type="spellStart"/>
            <w:r w:rsidRPr="00C87E4E">
              <w:rPr>
                <w:color w:val="auto"/>
                <w:sz w:val="26"/>
                <w:szCs w:val="26"/>
              </w:rPr>
              <w:t>Education</w:t>
            </w:r>
            <w:proofErr w:type="spellEnd"/>
          </w:p>
        </w:tc>
      </w:tr>
      <w:tr w:rsidR="00C87E4E" w:rsidRPr="00E55ED6" w:rsidTr="00C87E4E">
        <w:tc>
          <w:tcPr>
            <w:tcW w:w="3212" w:type="dxa"/>
            <w:tcBorders>
              <w:top w:val="single" w:sz="4" w:space="0" w:color="auto"/>
              <w:left w:val="single" w:sz="4" w:space="0" w:color="auto"/>
              <w:bottom w:val="single" w:sz="4" w:space="0" w:color="auto"/>
              <w:right w:val="single" w:sz="4" w:space="0" w:color="auto"/>
            </w:tcBorders>
          </w:tcPr>
          <w:p w:rsidR="00C87E4E" w:rsidRPr="008A533F" w:rsidRDefault="00C87E4E" w:rsidP="00C87E4E">
            <w:pPr>
              <w:spacing w:after="0" w:line="240" w:lineRule="auto"/>
              <w:rPr>
                <w:b/>
                <w:color w:val="auto"/>
                <w:sz w:val="26"/>
                <w:szCs w:val="26"/>
              </w:rPr>
            </w:pPr>
            <w:r w:rsidRPr="008A533F">
              <w:rPr>
                <w:b/>
                <w:sz w:val="26"/>
                <w:szCs w:val="26"/>
                <w:lang w:val="en-US"/>
              </w:rPr>
              <w:t>Year of study</w:t>
            </w:r>
          </w:p>
        </w:tc>
        <w:tc>
          <w:tcPr>
            <w:tcW w:w="6133" w:type="dxa"/>
          </w:tcPr>
          <w:p w:rsidR="00C87E4E" w:rsidRPr="00E55ED6" w:rsidRDefault="00C87E4E" w:rsidP="00C87E4E">
            <w:pPr>
              <w:spacing w:after="0" w:line="240" w:lineRule="auto"/>
              <w:rPr>
                <w:color w:val="auto"/>
                <w:sz w:val="26"/>
                <w:szCs w:val="26"/>
              </w:rPr>
            </w:pPr>
            <w:r w:rsidRPr="00E55ED6">
              <w:rPr>
                <w:color w:val="auto"/>
                <w:sz w:val="26"/>
                <w:szCs w:val="26"/>
              </w:rPr>
              <w:t>2</w:t>
            </w:r>
          </w:p>
        </w:tc>
      </w:tr>
      <w:tr w:rsidR="00C87E4E" w:rsidRPr="00E55ED6" w:rsidTr="00C87E4E">
        <w:tc>
          <w:tcPr>
            <w:tcW w:w="3212" w:type="dxa"/>
            <w:tcBorders>
              <w:top w:val="single" w:sz="4" w:space="0" w:color="auto"/>
              <w:left w:val="single" w:sz="4" w:space="0" w:color="auto"/>
              <w:bottom w:val="single" w:sz="4" w:space="0" w:color="auto"/>
              <w:right w:val="single" w:sz="4" w:space="0" w:color="auto"/>
            </w:tcBorders>
          </w:tcPr>
          <w:p w:rsidR="00C87E4E" w:rsidRPr="008A533F" w:rsidRDefault="00C87E4E" w:rsidP="00C87E4E">
            <w:pPr>
              <w:spacing w:after="0" w:line="240" w:lineRule="auto"/>
              <w:rPr>
                <w:b/>
                <w:color w:val="auto"/>
                <w:sz w:val="26"/>
                <w:szCs w:val="26"/>
              </w:rPr>
            </w:pPr>
            <w:r w:rsidRPr="008A533F">
              <w:rPr>
                <w:b/>
                <w:sz w:val="26"/>
                <w:szCs w:val="26"/>
                <w:lang w:val="en-US"/>
              </w:rPr>
              <w:t>Semester of study</w:t>
            </w:r>
          </w:p>
        </w:tc>
        <w:tc>
          <w:tcPr>
            <w:tcW w:w="6133" w:type="dxa"/>
          </w:tcPr>
          <w:p w:rsidR="00C87E4E" w:rsidRPr="00E55ED6" w:rsidRDefault="00C87E4E" w:rsidP="00C87E4E">
            <w:pPr>
              <w:spacing w:after="0" w:line="240" w:lineRule="auto"/>
              <w:rPr>
                <w:color w:val="auto"/>
                <w:sz w:val="26"/>
                <w:szCs w:val="26"/>
              </w:rPr>
            </w:pPr>
            <w:r w:rsidRPr="00E55ED6">
              <w:rPr>
                <w:color w:val="auto"/>
                <w:sz w:val="26"/>
                <w:szCs w:val="26"/>
              </w:rPr>
              <w:t>4</w:t>
            </w:r>
          </w:p>
        </w:tc>
      </w:tr>
      <w:tr w:rsidR="00C87E4E" w:rsidRPr="00E55ED6" w:rsidTr="00C87E4E">
        <w:tc>
          <w:tcPr>
            <w:tcW w:w="3212" w:type="dxa"/>
            <w:tcBorders>
              <w:top w:val="single" w:sz="4" w:space="0" w:color="auto"/>
              <w:left w:val="single" w:sz="4" w:space="0" w:color="auto"/>
              <w:bottom w:val="single" w:sz="4" w:space="0" w:color="auto"/>
              <w:right w:val="single" w:sz="4" w:space="0" w:color="auto"/>
            </w:tcBorders>
          </w:tcPr>
          <w:p w:rsidR="00C87E4E" w:rsidRPr="008A533F" w:rsidRDefault="00C87E4E" w:rsidP="00C87E4E">
            <w:pPr>
              <w:spacing w:after="0" w:line="240" w:lineRule="auto"/>
              <w:rPr>
                <w:b/>
                <w:color w:val="auto"/>
                <w:sz w:val="26"/>
                <w:szCs w:val="26"/>
                <w:lang w:val="en-US"/>
              </w:rPr>
            </w:pPr>
            <w:r w:rsidRPr="008A533F">
              <w:rPr>
                <w:b/>
                <w:sz w:val="26"/>
                <w:szCs w:val="26"/>
                <w:lang w:val="en-US"/>
              </w:rPr>
              <w:t>Number of in-class academic hours:</w:t>
            </w:r>
          </w:p>
        </w:tc>
        <w:tc>
          <w:tcPr>
            <w:tcW w:w="6133" w:type="dxa"/>
          </w:tcPr>
          <w:p w:rsidR="00C87E4E" w:rsidRPr="00E55ED6" w:rsidRDefault="00C87E4E" w:rsidP="00C87E4E">
            <w:pPr>
              <w:spacing w:after="0" w:line="240" w:lineRule="auto"/>
              <w:rPr>
                <w:color w:val="auto"/>
                <w:sz w:val="26"/>
                <w:szCs w:val="26"/>
              </w:rPr>
            </w:pPr>
            <w:r w:rsidRPr="00E55ED6">
              <w:rPr>
                <w:color w:val="auto"/>
                <w:sz w:val="26"/>
                <w:szCs w:val="26"/>
              </w:rPr>
              <w:t>60</w:t>
            </w:r>
          </w:p>
        </w:tc>
      </w:tr>
      <w:tr w:rsidR="00C87E4E" w:rsidRPr="00E55ED6" w:rsidTr="00C87E4E">
        <w:tc>
          <w:tcPr>
            <w:tcW w:w="3212" w:type="dxa"/>
            <w:vMerge w:val="restart"/>
            <w:tcBorders>
              <w:top w:val="single" w:sz="4" w:space="0" w:color="auto"/>
              <w:left w:val="single" w:sz="4" w:space="0" w:color="auto"/>
              <w:bottom w:val="single" w:sz="4" w:space="0" w:color="auto"/>
              <w:right w:val="single" w:sz="4" w:space="0" w:color="auto"/>
            </w:tcBorders>
          </w:tcPr>
          <w:p w:rsidR="00C87E4E" w:rsidRPr="008A533F" w:rsidRDefault="00C87E4E" w:rsidP="00C87E4E">
            <w:pPr>
              <w:spacing w:after="0" w:line="240" w:lineRule="auto"/>
              <w:rPr>
                <w:rFonts w:eastAsia="Times New Roman"/>
                <w:b/>
                <w:sz w:val="26"/>
                <w:szCs w:val="26"/>
                <w:lang w:val="en-US"/>
              </w:rPr>
            </w:pPr>
            <w:r w:rsidRPr="008A533F">
              <w:rPr>
                <w:b/>
                <w:sz w:val="26"/>
                <w:szCs w:val="26"/>
                <w:lang w:val="en-US"/>
              </w:rPr>
              <w:t>Lectures</w:t>
            </w:r>
          </w:p>
          <w:p w:rsidR="00C87E4E" w:rsidRPr="008A533F" w:rsidRDefault="00C87E4E" w:rsidP="00C87E4E">
            <w:pPr>
              <w:spacing w:after="0" w:line="240" w:lineRule="auto"/>
              <w:rPr>
                <w:b/>
                <w:sz w:val="26"/>
                <w:szCs w:val="26"/>
                <w:lang w:val="en-US"/>
              </w:rPr>
            </w:pPr>
            <w:r w:rsidRPr="008A533F">
              <w:rPr>
                <w:b/>
                <w:sz w:val="26"/>
                <w:szCs w:val="26"/>
                <w:lang w:val="en-US"/>
              </w:rPr>
              <w:t xml:space="preserve">Seminar classes </w:t>
            </w:r>
          </w:p>
          <w:p w:rsidR="00C87E4E" w:rsidRPr="008A533F" w:rsidRDefault="00C87E4E" w:rsidP="00C87E4E">
            <w:pPr>
              <w:spacing w:after="0" w:line="240" w:lineRule="auto"/>
              <w:rPr>
                <w:rFonts w:eastAsia="Calibri"/>
                <w:b/>
                <w:sz w:val="26"/>
                <w:szCs w:val="26"/>
                <w:lang w:val="en-US"/>
              </w:rPr>
            </w:pPr>
            <w:r w:rsidRPr="008A533F">
              <w:rPr>
                <w:b/>
                <w:sz w:val="26"/>
                <w:szCs w:val="26"/>
                <w:lang w:val="en-US"/>
              </w:rPr>
              <w:t>Practical classes</w:t>
            </w:r>
          </w:p>
          <w:p w:rsidR="00C87E4E" w:rsidRPr="008A533F" w:rsidRDefault="00C87E4E" w:rsidP="00C87E4E">
            <w:pPr>
              <w:spacing w:after="0" w:line="240" w:lineRule="auto"/>
              <w:rPr>
                <w:b/>
                <w:color w:val="auto"/>
                <w:sz w:val="26"/>
                <w:szCs w:val="26"/>
                <w:lang w:val="en-US"/>
              </w:rPr>
            </w:pPr>
            <w:r w:rsidRPr="008A533F">
              <w:rPr>
                <w:b/>
                <w:sz w:val="26"/>
                <w:szCs w:val="26"/>
                <w:lang w:val="en-US"/>
              </w:rPr>
              <w:t>Laboratory classes</w:t>
            </w:r>
          </w:p>
        </w:tc>
        <w:tc>
          <w:tcPr>
            <w:tcW w:w="6133" w:type="dxa"/>
          </w:tcPr>
          <w:p w:rsidR="00C87E4E" w:rsidRPr="00E55ED6" w:rsidRDefault="00C87E4E" w:rsidP="00C87E4E">
            <w:pPr>
              <w:spacing w:after="0" w:line="240" w:lineRule="auto"/>
              <w:rPr>
                <w:color w:val="auto"/>
                <w:sz w:val="26"/>
                <w:szCs w:val="26"/>
              </w:rPr>
            </w:pPr>
            <w:r w:rsidRPr="00E55ED6">
              <w:rPr>
                <w:color w:val="auto"/>
                <w:sz w:val="26"/>
                <w:szCs w:val="26"/>
              </w:rPr>
              <w:t>26</w:t>
            </w:r>
          </w:p>
        </w:tc>
      </w:tr>
      <w:tr w:rsidR="00C87E4E" w:rsidRPr="00E55ED6" w:rsidTr="00C87E4E">
        <w:tc>
          <w:tcPr>
            <w:tcW w:w="3212" w:type="dxa"/>
            <w:vMerge/>
            <w:tcBorders>
              <w:top w:val="single" w:sz="4" w:space="0" w:color="auto"/>
              <w:left w:val="single" w:sz="4" w:space="0" w:color="auto"/>
              <w:bottom w:val="single" w:sz="4" w:space="0" w:color="auto"/>
              <w:right w:val="single" w:sz="4" w:space="0" w:color="auto"/>
            </w:tcBorders>
            <w:vAlign w:val="center"/>
          </w:tcPr>
          <w:p w:rsidR="00C87E4E" w:rsidRPr="008A533F" w:rsidRDefault="00C87E4E" w:rsidP="00C87E4E">
            <w:pPr>
              <w:spacing w:after="0" w:line="240" w:lineRule="auto"/>
              <w:rPr>
                <w:b/>
                <w:color w:val="auto"/>
                <w:sz w:val="26"/>
                <w:szCs w:val="26"/>
              </w:rPr>
            </w:pPr>
          </w:p>
        </w:tc>
        <w:tc>
          <w:tcPr>
            <w:tcW w:w="6133" w:type="dxa"/>
          </w:tcPr>
          <w:p w:rsidR="00C87E4E" w:rsidRPr="00E55ED6" w:rsidRDefault="00C87E4E" w:rsidP="00C87E4E">
            <w:pPr>
              <w:spacing w:after="0" w:line="240" w:lineRule="auto"/>
              <w:rPr>
                <w:color w:val="auto"/>
                <w:sz w:val="26"/>
                <w:szCs w:val="26"/>
              </w:rPr>
            </w:pPr>
          </w:p>
        </w:tc>
      </w:tr>
      <w:tr w:rsidR="00C87E4E" w:rsidRPr="00E55ED6" w:rsidTr="00C87E4E">
        <w:tc>
          <w:tcPr>
            <w:tcW w:w="3212" w:type="dxa"/>
            <w:vMerge/>
            <w:tcBorders>
              <w:top w:val="single" w:sz="4" w:space="0" w:color="auto"/>
              <w:left w:val="single" w:sz="4" w:space="0" w:color="auto"/>
              <w:bottom w:val="single" w:sz="4" w:space="0" w:color="auto"/>
              <w:right w:val="single" w:sz="4" w:space="0" w:color="auto"/>
            </w:tcBorders>
            <w:vAlign w:val="center"/>
          </w:tcPr>
          <w:p w:rsidR="00C87E4E" w:rsidRPr="008A533F" w:rsidRDefault="00C87E4E" w:rsidP="00C87E4E">
            <w:pPr>
              <w:spacing w:after="0" w:line="240" w:lineRule="auto"/>
              <w:rPr>
                <w:b/>
                <w:color w:val="auto"/>
                <w:sz w:val="26"/>
                <w:szCs w:val="26"/>
              </w:rPr>
            </w:pPr>
          </w:p>
        </w:tc>
        <w:tc>
          <w:tcPr>
            <w:tcW w:w="6133" w:type="dxa"/>
          </w:tcPr>
          <w:p w:rsidR="00C87E4E" w:rsidRPr="00E55ED6" w:rsidRDefault="00C87E4E" w:rsidP="00C87E4E">
            <w:pPr>
              <w:spacing w:after="0" w:line="240" w:lineRule="auto"/>
              <w:rPr>
                <w:color w:val="auto"/>
                <w:sz w:val="26"/>
                <w:szCs w:val="26"/>
              </w:rPr>
            </w:pPr>
            <w:r w:rsidRPr="00E55ED6">
              <w:rPr>
                <w:color w:val="auto"/>
                <w:sz w:val="26"/>
                <w:szCs w:val="26"/>
              </w:rPr>
              <w:t>34</w:t>
            </w:r>
          </w:p>
        </w:tc>
      </w:tr>
      <w:tr w:rsidR="00C87E4E" w:rsidRPr="00E55ED6" w:rsidTr="00C87E4E">
        <w:tc>
          <w:tcPr>
            <w:tcW w:w="3212" w:type="dxa"/>
            <w:vMerge/>
            <w:tcBorders>
              <w:top w:val="single" w:sz="4" w:space="0" w:color="auto"/>
              <w:left w:val="single" w:sz="4" w:space="0" w:color="auto"/>
              <w:bottom w:val="single" w:sz="4" w:space="0" w:color="auto"/>
              <w:right w:val="single" w:sz="4" w:space="0" w:color="auto"/>
            </w:tcBorders>
            <w:vAlign w:val="center"/>
          </w:tcPr>
          <w:p w:rsidR="00C87E4E" w:rsidRPr="008A533F" w:rsidRDefault="00C87E4E" w:rsidP="00C87E4E">
            <w:pPr>
              <w:spacing w:after="0" w:line="240" w:lineRule="auto"/>
              <w:rPr>
                <w:b/>
                <w:color w:val="auto"/>
                <w:sz w:val="26"/>
                <w:szCs w:val="26"/>
              </w:rPr>
            </w:pPr>
          </w:p>
        </w:tc>
        <w:tc>
          <w:tcPr>
            <w:tcW w:w="6133" w:type="dxa"/>
          </w:tcPr>
          <w:p w:rsidR="00C87E4E" w:rsidRPr="00E55ED6" w:rsidRDefault="00C87E4E" w:rsidP="00C87E4E">
            <w:pPr>
              <w:spacing w:after="0" w:line="240" w:lineRule="auto"/>
              <w:rPr>
                <w:color w:val="auto"/>
                <w:sz w:val="26"/>
                <w:szCs w:val="26"/>
              </w:rPr>
            </w:pPr>
          </w:p>
        </w:tc>
      </w:tr>
      <w:tr w:rsidR="00C87E4E" w:rsidRPr="00E55ED6" w:rsidTr="00C87E4E">
        <w:tc>
          <w:tcPr>
            <w:tcW w:w="3212" w:type="dxa"/>
            <w:tcBorders>
              <w:top w:val="single" w:sz="4" w:space="0" w:color="auto"/>
              <w:left w:val="single" w:sz="4" w:space="0" w:color="auto"/>
              <w:bottom w:val="single" w:sz="4" w:space="0" w:color="auto"/>
              <w:right w:val="single" w:sz="4" w:space="0" w:color="auto"/>
            </w:tcBorders>
          </w:tcPr>
          <w:p w:rsidR="00C87E4E" w:rsidRPr="008A533F" w:rsidRDefault="00C87E4E" w:rsidP="00C87E4E">
            <w:pPr>
              <w:spacing w:after="0" w:line="240" w:lineRule="auto"/>
              <w:rPr>
                <w:b/>
                <w:color w:val="auto"/>
                <w:sz w:val="26"/>
                <w:szCs w:val="26"/>
                <w:lang w:val="en-US"/>
              </w:rPr>
            </w:pPr>
            <w:r w:rsidRPr="008A533F">
              <w:rPr>
                <w:b/>
                <w:sz w:val="26"/>
                <w:szCs w:val="26"/>
                <w:lang w:val="en-US"/>
              </w:rPr>
              <w:t>Form of the current assessment (</w:t>
            </w:r>
            <w:r w:rsidRPr="008A533F">
              <w:rPr>
                <w:b/>
                <w:i/>
                <w:sz w:val="26"/>
                <w:szCs w:val="26"/>
                <w:lang w:val="en-US"/>
              </w:rPr>
              <w:t>credit/ graded credit /exam</w:t>
            </w:r>
            <w:r w:rsidRPr="008A533F">
              <w:rPr>
                <w:b/>
                <w:sz w:val="26"/>
                <w:szCs w:val="26"/>
                <w:lang w:val="en-US"/>
              </w:rPr>
              <w:t>)</w:t>
            </w:r>
          </w:p>
        </w:tc>
        <w:tc>
          <w:tcPr>
            <w:tcW w:w="6133" w:type="dxa"/>
          </w:tcPr>
          <w:p w:rsidR="00C87E4E" w:rsidRPr="00C87E4E" w:rsidRDefault="00C87E4E" w:rsidP="00C87E4E">
            <w:pPr>
              <w:spacing w:after="0" w:line="240" w:lineRule="auto"/>
              <w:rPr>
                <w:color w:val="auto"/>
                <w:sz w:val="26"/>
                <w:szCs w:val="26"/>
                <w:lang w:val="en-US"/>
              </w:rPr>
            </w:pPr>
            <w:r>
              <w:rPr>
                <w:color w:val="auto"/>
                <w:sz w:val="26"/>
                <w:szCs w:val="26"/>
                <w:lang w:val="en-US"/>
              </w:rPr>
              <w:t>exam</w:t>
            </w:r>
          </w:p>
        </w:tc>
      </w:tr>
      <w:tr w:rsidR="00C87E4E" w:rsidRPr="00E55ED6" w:rsidTr="00C87E4E">
        <w:tc>
          <w:tcPr>
            <w:tcW w:w="3212" w:type="dxa"/>
            <w:tcBorders>
              <w:top w:val="single" w:sz="4" w:space="0" w:color="auto"/>
              <w:left w:val="single" w:sz="4" w:space="0" w:color="auto"/>
              <w:bottom w:val="single" w:sz="4" w:space="0" w:color="auto"/>
              <w:right w:val="single" w:sz="4" w:space="0" w:color="auto"/>
            </w:tcBorders>
          </w:tcPr>
          <w:p w:rsidR="00C87E4E" w:rsidRPr="008A533F" w:rsidRDefault="00C87E4E" w:rsidP="00C87E4E">
            <w:pPr>
              <w:spacing w:after="0" w:line="240" w:lineRule="auto"/>
              <w:rPr>
                <w:b/>
                <w:color w:val="auto"/>
                <w:sz w:val="26"/>
                <w:szCs w:val="26"/>
              </w:rPr>
            </w:pPr>
            <w:r w:rsidRPr="008A533F">
              <w:rPr>
                <w:b/>
                <w:sz w:val="26"/>
                <w:szCs w:val="26"/>
                <w:lang w:val="en-US"/>
              </w:rPr>
              <w:t>Number of credit points</w:t>
            </w:r>
          </w:p>
        </w:tc>
        <w:tc>
          <w:tcPr>
            <w:tcW w:w="6133" w:type="dxa"/>
          </w:tcPr>
          <w:p w:rsidR="00C87E4E" w:rsidRPr="00E55ED6" w:rsidRDefault="00C87E4E" w:rsidP="00C87E4E">
            <w:pPr>
              <w:spacing w:after="0" w:line="240" w:lineRule="auto"/>
              <w:rPr>
                <w:color w:val="auto"/>
                <w:sz w:val="26"/>
                <w:szCs w:val="26"/>
              </w:rPr>
            </w:pPr>
            <w:r w:rsidRPr="00E55ED6">
              <w:rPr>
                <w:color w:val="auto"/>
                <w:sz w:val="26"/>
                <w:szCs w:val="26"/>
              </w:rPr>
              <w:t>3</w:t>
            </w:r>
          </w:p>
        </w:tc>
      </w:tr>
      <w:tr w:rsidR="00C87E4E" w:rsidRPr="00096D01" w:rsidTr="00C87E4E">
        <w:tc>
          <w:tcPr>
            <w:tcW w:w="3212" w:type="dxa"/>
            <w:tcBorders>
              <w:top w:val="single" w:sz="4" w:space="0" w:color="auto"/>
              <w:left w:val="single" w:sz="4" w:space="0" w:color="auto"/>
              <w:bottom w:val="single" w:sz="4" w:space="0" w:color="auto"/>
              <w:right w:val="single" w:sz="4" w:space="0" w:color="auto"/>
            </w:tcBorders>
          </w:tcPr>
          <w:p w:rsidR="00C87E4E" w:rsidRPr="008A533F" w:rsidRDefault="00C87E4E" w:rsidP="00C87E4E">
            <w:pPr>
              <w:spacing w:after="0" w:line="240" w:lineRule="auto"/>
              <w:rPr>
                <w:b/>
                <w:color w:val="auto"/>
                <w:sz w:val="26"/>
                <w:szCs w:val="26"/>
              </w:rPr>
            </w:pPr>
            <w:r w:rsidRPr="008A533F">
              <w:rPr>
                <w:b/>
                <w:sz w:val="26"/>
                <w:szCs w:val="26"/>
                <w:lang w:val="en-US"/>
              </w:rPr>
              <w:t>Competences</w:t>
            </w:r>
          </w:p>
        </w:tc>
        <w:tc>
          <w:tcPr>
            <w:tcW w:w="6133" w:type="dxa"/>
          </w:tcPr>
          <w:p w:rsidR="00C87E4E" w:rsidRPr="00C87E4E" w:rsidRDefault="00C87E4E" w:rsidP="00C87E4E">
            <w:pPr>
              <w:spacing w:after="0" w:line="240" w:lineRule="auto"/>
              <w:ind w:firstLine="357"/>
              <w:jc w:val="both"/>
              <w:rPr>
                <w:rFonts w:eastAsia="Calibri"/>
                <w:color w:val="auto"/>
                <w:sz w:val="26"/>
                <w:szCs w:val="26"/>
                <w:lang w:val="en-US"/>
              </w:rPr>
            </w:pPr>
            <w:r w:rsidRPr="00C87E4E">
              <w:rPr>
                <w:bCs/>
                <w:color w:val="auto"/>
                <w:sz w:val="26"/>
                <w:szCs w:val="26"/>
                <w:lang w:val="en-US"/>
              </w:rPr>
              <w:t>The academic discipline is aimed at developing the following universal competencies: to have a humanistic worldview, qualities of citizenship and patriotism, to understand the social significance of future professional activity; basic professional competencies: to design the educational process, to select methods, forms, technologies that correspond to educational goals and objectives; to carry out the educational process on a reflective basis, to use a system of means of monitoring and evaluating the achievements of the educational process of students; to select the content, forms, methods and means of education, to apply them taking into account the characteristics of students.</w:t>
            </w:r>
          </w:p>
        </w:tc>
      </w:tr>
      <w:tr w:rsidR="00C87E4E" w:rsidRPr="00096D01" w:rsidTr="00C87E4E">
        <w:trPr>
          <w:trHeight w:val="2172"/>
        </w:trPr>
        <w:tc>
          <w:tcPr>
            <w:tcW w:w="9345" w:type="dxa"/>
            <w:gridSpan w:val="2"/>
          </w:tcPr>
          <w:p w:rsidR="00C87E4E" w:rsidRDefault="00C87E4E" w:rsidP="00C87E4E">
            <w:pPr>
              <w:pStyle w:val="Default"/>
              <w:jc w:val="center"/>
              <w:rPr>
                <w:rFonts w:eastAsiaTheme="minorHAnsi"/>
                <w:b/>
                <w:iCs/>
                <w:color w:val="auto"/>
                <w:w w:val="107"/>
                <w:sz w:val="26"/>
                <w:szCs w:val="26"/>
                <w:lang w:val="en-US"/>
              </w:rPr>
            </w:pPr>
            <w:r w:rsidRPr="00C87E4E">
              <w:rPr>
                <w:rFonts w:eastAsiaTheme="minorHAnsi"/>
                <w:b/>
                <w:iCs/>
                <w:color w:val="auto"/>
                <w:w w:val="107"/>
                <w:sz w:val="26"/>
                <w:szCs w:val="26"/>
                <w:lang w:val="en-US"/>
              </w:rPr>
              <w:t>Summary of the academic discipline:</w:t>
            </w:r>
          </w:p>
          <w:p w:rsidR="00C87E4E" w:rsidRPr="00C87E4E" w:rsidRDefault="00C87E4E" w:rsidP="00C854EF">
            <w:pPr>
              <w:spacing w:after="0" w:line="240" w:lineRule="auto"/>
              <w:ind w:firstLine="567"/>
              <w:jc w:val="both"/>
              <w:rPr>
                <w:color w:val="auto"/>
                <w:sz w:val="26"/>
                <w:szCs w:val="26"/>
                <w:lang w:val="en-US"/>
              </w:rPr>
            </w:pPr>
            <w:r w:rsidRPr="00C87E4E">
              <w:rPr>
                <w:rFonts w:eastAsia="Calibri"/>
                <w:iCs w:val="0"/>
                <w:color w:val="auto"/>
                <w:w w:val="100"/>
                <w:sz w:val="26"/>
                <w:szCs w:val="26"/>
                <w:lang w:val="en-US"/>
              </w:rPr>
              <w:t xml:space="preserve">The content of the academic discipline </w:t>
            </w:r>
            <w:r w:rsidR="00693BC3">
              <w:rPr>
                <w:rFonts w:eastAsia="Calibri"/>
                <w:iCs w:val="0"/>
                <w:color w:val="auto"/>
                <w:w w:val="100"/>
                <w:sz w:val="26"/>
                <w:szCs w:val="26"/>
                <w:lang w:val="en-US"/>
              </w:rPr>
              <w:t>“</w:t>
            </w:r>
            <w:r w:rsidRPr="00C87E4E">
              <w:rPr>
                <w:rFonts w:eastAsia="Calibri"/>
                <w:iCs w:val="0"/>
                <w:color w:val="auto"/>
                <w:w w:val="100"/>
                <w:sz w:val="26"/>
                <w:szCs w:val="26"/>
                <w:lang w:val="en-US"/>
              </w:rPr>
              <w:t xml:space="preserve">Theoretical Foundations of </w:t>
            </w:r>
            <w:r w:rsidR="00C854EF">
              <w:rPr>
                <w:rFonts w:eastAsia="Calibri"/>
                <w:iCs w:val="0"/>
                <w:color w:val="auto"/>
                <w:w w:val="100"/>
                <w:sz w:val="26"/>
                <w:szCs w:val="26"/>
                <w:lang w:val="en-US"/>
              </w:rPr>
              <w:t>Upbringing</w:t>
            </w:r>
            <w:r w:rsidR="00693BC3">
              <w:rPr>
                <w:rFonts w:eastAsia="Calibri"/>
                <w:iCs w:val="0"/>
                <w:color w:val="auto"/>
                <w:w w:val="100"/>
                <w:sz w:val="26"/>
                <w:szCs w:val="26"/>
                <w:lang w:val="en-US"/>
              </w:rPr>
              <w:t>”</w:t>
            </w:r>
            <w:r w:rsidRPr="00C87E4E">
              <w:rPr>
                <w:rFonts w:eastAsia="Calibri"/>
                <w:iCs w:val="0"/>
                <w:color w:val="auto"/>
                <w:w w:val="100"/>
                <w:sz w:val="26"/>
                <w:szCs w:val="26"/>
                <w:lang w:val="en-US"/>
              </w:rPr>
              <w:t xml:space="preserve"> is focused on the development of a future primary school teacher as a subject of educational activity, reflects the main problems of the theory of education - an area of ​​pedagogy that studies the essence of the educational process, its patterns and principles, goals and content, as well as methods, forms, means, conditions for effective educational activity, theoretical foundations of working with families of students and the student body.</w:t>
            </w:r>
          </w:p>
        </w:tc>
      </w:tr>
    </w:tbl>
    <w:p w:rsidR="00C87E4E" w:rsidRPr="00C87E4E" w:rsidRDefault="00C87E4E" w:rsidP="00E55ED6">
      <w:pPr>
        <w:spacing w:after="0" w:line="240" w:lineRule="auto"/>
        <w:rPr>
          <w:sz w:val="26"/>
          <w:szCs w:val="26"/>
          <w:lang w:val="en-US"/>
        </w:rPr>
      </w:pPr>
    </w:p>
    <w:sectPr w:rsidR="00C87E4E" w:rsidRPr="00C87E4E" w:rsidSect="00E84C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ED6"/>
    <w:rsid w:val="00096D01"/>
    <w:rsid w:val="00351E3E"/>
    <w:rsid w:val="0044787C"/>
    <w:rsid w:val="00693BC3"/>
    <w:rsid w:val="008A533F"/>
    <w:rsid w:val="008D3B89"/>
    <w:rsid w:val="00C854EF"/>
    <w:rsid w:val="00C87E4E"/>
    <w:rsid w:val="00E55ED6"/>
    <w:rsid w:val="00E84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ED6"/>
    <w:pPr>
      <w:spacing w:after="200" w:line="276" w:lineRule="auto"/>
    </w:pPr>
    <w:rPr>
      <w:rFonts w:ascii="Times New Roman" w:hAnsi="Times New Roman" w:cs="Times New Roman"/>
      <w:iCs/>
      <w:color w:val="000000"/>
      <w:w w:val="107"/>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5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55ED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4">
    <w:name w:val="Strong"/>
    <w:basedOn w:val="a0"/>
    <w:uiPriority w:val="22"/>
    <w:qFormat/>
    <w:rsid w:val="00C87E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ED6"/>
    <w:pPr>
      <w:spacing w:after="200" w:line="276" w:lineRule="auto"/>
    </w:pPr>
    <w:rPr>
      <w:rFonts w:ascii="Times New Roman" w:hAnsi="Times New Roman" w:cs="Times New Roman"/>
      <w:iCs/>
      <w:color w:val="000000"/>
      <w:w w:val="107"/>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5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55ED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4">
    <w:name w:val="Strong"/>
    <w:basedOn w:val="a0"/>
    <w:uiPriority w:val="22"/>
    <w:qFormat/>
    <w:rsid w:val="00C87E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2025-07-18T10:50:00Z</dcterms:created>
  <dcterms:modified xsi:type="dcterms:W3CDTF">2025-07-18T10:50:00Z</dcterms:modified>
</cp:coreProperties>
</file>