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74" w:rsidRPr="00030ACD" w:rsidRDefault="00D84174" w:rsidP="00D84174">
      <w:pPr>
        <w:shd w:val="clear" w:color="auto" w:fill="FFFFFF"/>
        <w:spacing w:after="0" w:line="240" w:lineRule="auto"/>
        <w:ind w:left="-142"/>
        <w:jc w:val="center"/>
        <w:outlineLvl w:val="0"/>
        <w:rPr>
          <w:rFonts w:ascii="Times New Roman" w:hAnsi="Times New Roman" w:cs="Times New Roman"/>
          <w:b/>
          <w:bCs/>
          <w:sz w:val="26"/>
          <w:szCs w:val="26"/>
          <w:lang w:val="en-US"/>
        </w:rPr>
      </w:pPr>
      <w:r w:rsidRPr="00D84174">
        <w:rPr>
          <w:rFonts w:ascii="Times New Roman" w:hAnsi="Times New Roman" w:cs="Times New Roman"/>
          <w:b/>
          <w:bCs/>
          <w:sz w:val="26"/>
          <w:szCs w:val="26"/>
          <w:lang w:val="en-US"/>
        </w:rPr>
        <w:t>The name of the academic discipline:</w:t>
      </w:r>
    </w:p>
    <w:p w:rsidR="00D84174" w:rsidRPr="00030ACD" w:rsidRDefault="00030ACD" w:rsidP="00D84174">
      <w:pPr>
        <w:shd w:val="clear" w:color="auto" w:fill="FFFFFF"/>
        <w:spacing w:after="0" w:line="240" w:lineRule="auto"/>
        <w:ind w:left="-142"/>
        <w:jc w:val="center"/>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w:t>
      </w:r>
      <w:bookmarkStart w:id="0" w:name="_GoBack"/>
      <w:proofErr w:type="spellStart"/>
      <w:r w:rsidR="00D84174" w:rsidRPr="00D84174">
        <w:rPr>
          <w:rFonts w:ascii="Times New Roman" w:hAnsi="Times New Roman" w:cs="Times New Roman"/>
          <w:b/>
          <w:bCs/>
          <w:sz w:val="26"/>
          <w:szCs w:val="26"/>
        </w:rPr>
        <w:t>Culturology</w:t>
      </w:r>
      <w:bookmarkEnd w:id="0"/>
      <w:proofErr w:type="spellEnd"/>
      <w:r>
        <w:rPr>
          <w:rFonts w:ascii="Times New Roman" w:hAnsi="Times New Roman" w:cs="Times New Roman"/>
          <w:b/>
          <w:bCs/>
          <w:sz w:val="26"/>
          <w:szCs w:val="26"/>
          <w:lang w:val="en-US"/>
        </w:rPr>
        <w:t>”</w:t>
      </w:r>
    </w:p>
    <w:p w:rsidR="00D84174" w:rsidRPr="00D84174" w:rsidRDefault="00D84174" w:rsidP="00C240B9">
      <w:pPr>
        <w:shd w:val="clear" w:color="auto" w:fill="FFFFFF"/>
        <w:spacing w:after="0" w:line="240" w:lineRule="auto"/>
        <w:jc w:val="both"/>
        <w:outlineLvl w:val="0"/>
        <w:rPr>
          <w:rFonts w:ascii="Times New Roman" w:hAnsi="Times New Roman" w:cs="Times New Roman"/>
          <w:sz w:val="26"/>
          <w:szCs w:val="26"/>
          <w:lang w:val="en-US"/>
        </w:rPr>
      </w:pPr>
    </w:p>
    <w:tbl>
      <w:tblPr>
        <w:tblStyle w:val="a3"/>
        <w:tblW w:w="9639" w:type="dxa"/>
        <w:tblInd w:w="-5" w:type="dxa"/>
        <w:tblLook w:val="04A0" w:firstRow="1" w:lastRow="0" w:firstColumn="1" w:lastColumn="0" w:noHBand="0" w:noVBand="1"/>
      </w:tblPr>
      <w:tblGrid>
        <w:gridCol w:w="3828"/>
        <w:gridCol w:w="5811"/>
      </w:tblGrid>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Style w:val="a5"/>
                <w:rFonts w:ascii="Times New Roman" w:hAnsi="Times New Roman" w:cs="Times New Roman"/>
                <w:sz w:val="28"/>
                <w:szCs w:val="28"/>
                <w:shd w:val="clear" w:color="auto" w:fill="FFFFFF"/>
                <w:lang w:val="en-US"/>
              </w:rPr>
              <w:t>Specialty code and name</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eastAsia="Times New Roman" w:hAnsi="Times New Roman" w:cs="Times New Roman"/>
                <w:sz w:val="26"/>
                <w:szCs w:val="26"/>
              </w:rPr>
              <w:t xml:space="preserve">6-05-0112-02 </w:t>
            </w:r>
            <w:proofErr w:type="spellStart"/>
            <w:r w:rsidRPr="00D84174">
              <w:rPr>
                <w:rFonts w:ascii="Times New Roman" w:eastAsia="Times New Roman" w:hAnsi="Times New Roman" w:cs="Times New Roman"/>
                <w:sz w:val="26"/>
                <w:szCs w:val="26"/>
              </w:rPr>
              <w:t>Primary</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Education</w:t>
            </w:r>
            <w:proofErr w:type="spellEnd"/>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Fonts w:ascii="Times New Roman" w:hAnsi="Times New Roman" w:cs="Times New Roman"/>
                <w:b/>
                <w:sz w:val="28"/>
                <w:szCs w:val="28"/>
                <w:lang w:val="en-US"/>
              </w:rPr>
              <w:t>Year of study</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2</w:t>
            </w:r>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Fonts w:ascii="Times New Roman" w:hAnsi="Times New Roman" w:cs="Times New Roman"/>
                <w:b/>
                <w:sz w:val="28"/>
                <w:szCs w:val="28"/>
                <w:lang w:val="en-US"/>
              </w:rPr>
              <w:t>Semester of study</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3</w:t>
            </w:r>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lang w:val="en-US"/>
              </w:rPr>
            </w:pPr>
            <w:r w:rsidRPr="00D84174">
              <w:rPr>
                <w:rFonts w:ascii="Times New Roman" w:hAnsi="Times New Roman" w:cs="Times New Roman"/>
                <w:b/>
                <w:sz w:val="28"/>
                <w:szCs w:val="28"/>
                <w:lang w:val="en-US"/>
              </w:rPr>
              <w:t>Number of in-class academic hours:</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36</w:t>
            </w:r>
          </w:p>
        </w:tc>
      </w:tr>
      <w:tr w:rsidR="00D84174" w:rsidRPr="00737A3E" w:rsidTr="00F2302D">
        <w:tc>
          <w:tcPr>
            <w:tcW w:w="3828" w:type="dxa"/>
            <w:vMerge w:val="restart"/>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eastAsia="Times New Roman" w:hAnsi="Times New Roman" w:cs="Times New Roman"/>
                <w:b/>
                <w:sz w:val="28"/>
                <w:szCs w:val="28"/>
                <w:lang w:val="en-US"/>
              </w:rPr>
            </w:pPr>
            <w:r w:rsidRPr="00D84174">
              <w:rPr>
                <w:rFonts w:ascii="Times New Roman" w:hAnsi="Times New Roman" w:cs="Times New Roman"/>
                <w:b/>
                <w:sz w:val="28"/>
                <w:szCs w:val="28"/>
                <w:lang w:val="en-US"/>
              </w:rPr>
              <w:t>Lectures</w:t>
            </w:r>
          </w:p>
          <w:p w:rsidR="00D84174" w:rsidRPr="00D84174" w:rsidRDefault="00D84174" w:rsidP="00D84174">
            <w:pPr>
              <w:rPr>
                <w:rFonts w:ascii="Times New Roman" w:hAnsi="Times New Roman" w:cs="Times New Roman"/>
                <w:b/>
                <w:sz w:val="28"/>
                <w:szCs w:val="28"/>
                <w:lang w:val="en-US"/>
              </w:rPr>
            </w:pPr>
            <w:r w:rsidRPr="00D84174">
              <w:rPr>
                <w:rFonts w:ascii="Times New Roman" w:hAnsi="Times New Roman" w:cs="Times New Roman"/>
                <w:b/>
                <w:sz w:val="28"/>
                <w:szCs w:val="28"/>
                <w:lang w:val="en-US"/>
              </w:rPr>
              <w:t xml:space="preserve">Seminar classes </w:t>
            </w:r>
          </w:p>
          <w:p w:rsidR="00D84174" w:rsidRPr="00D84174" w:rsidRDefault="00D84174" w:rsidP="00D84174">
            <w:pPr>
              <w:rPr>
                <w:rFonts w:ascii="Times New Roman" w:eastAsia="Calibri" w:hAnsi="Times New Roman" w:cs="Times New Roman"/>
                <w:b/>
                <w:sz w:val="28"/>
                <w:szCs w:val="28"/>
                <w:lang w:val="en-US"/>
              </w:rPr>
            </w:pPr>
            <w:r w:rsidRPr="00D84174">
              <w:rPr>
                <w:rFonts w:ascii="Times New Roman" w:hAnsi="Times New Roman" w:cs="Times New Roman"/>
                <w:b/>
                <w:sz w:val="28"/>
                <w:szCs w:val="28"/>
                <w:lang w:val="en-US"/>
              </w:rPr>
              <w:t>Practical classes</w:t>
            </w:r>
          </w:p>
          <w:p w:rsidR="00D84174" w:rsidRPr="00D84174" w:rsidRDefault="00D84174" w:rsidP="00D84174">
            <w:pPr>
              <w:rPr>
                <w:rFonts w:ascii="Times New Roman" w:hAnsi="Times New Roman" w:cs="Times New Roman"/>
                <w:b/>
                <w:sz w:val="28"/>
                <w:szCs w:val="28"/>
                <w:lang w:val="en-US"/>
              </w:rPr>
            </w:pPr>
            <w:r w:rsidRPr="00D84174">
              <w:rPr>
                <w:rFonts w:ascii="Times New Roman" w:hAnsi="Times New Roman" w:cs="Times New Roman"/>
                <w:b/>
                <w:sz w:val="28"/>
                <w:szCs w:val="28"/>
                <w:lang w:val="en-US"/>
              </w:rPr>
              <w:t>Laboratory classes</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18</w:t>
            </w:r>
          </w:p>
        </w:tc>
      </w:tr>
      <w:tr w:rsidR="00D84174" w:rsidRPr="00737A3E" w:rsidTr="00F2302D">
        <w:tc>
          <w:tcPr>
            <w:tcW w:w="3828" w:type="dxa"/>
            <w:vMerge/>
            <w:tcBorders>
              <w:top w:val="single" w:sz="4" w:space="0" w:color="auto"/>
              <w:left w:val="single" w:sz="4" w:space="0" w:color="auto"/>
              <w:bottom w:val="single" w:sz="4" w:space="0" w:color="auto"/>
              <w:right w:val="single" w:sz="4" w:space="0" w:color="auto"/>
            </w:tcBorders>
            <w:vAlign w:val="center"/>
          </w:tcPr>
          <w:p w:rsidR="00D84174" w:rsidRPr="00D84174" w:rsidRDefault="00D84174" w:rsidP="00D84174">
            <w:pPr>
              <w:rPr>
                <w:rFonts w:ascii="Times New Roman" w:hAnsi="Times New Roman" w:cs="Times New Roman"/>
                <w:b/>
                <w:sz w:val="28"/>
                <w:szCs w:val="28"/>
              </w:rPr>
            </w:pP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18</w:t>
            </w:r>
          </w:p>
        </w:tc>
      </w:tr>
      <w:tr w:rsidR="00D84174" w:rsidRPr="00737A3E" w:rsidTr="00F2302D">
        <w:tc>
          <w:tcPr>
            <w:tcW w:w="3828" w:type="dxa"/>
            <w:vMerge/>
            <w:tcBorders>
              <w:top w:val="single" w:sz="4" w:space="0" w:color="auto"/>
              <w:left w:val="single" w:sz="4" w:space="0" w:color="auto"/>
              <w:bottom w:val="single" w:sz="4" w:space="0" w:color="auto"/>
              <w:right w:val="single" w:sz="4" w:space="0" w:color="auto"/>
            </w:tcBorders>
            <w:vAlign w:val="center"/>
          </w:tcPr>
          <w:p w:rsidR="00D84174" w:rsidRPr="00D84174" w:rsidRDefault="00D84174" w:rsidP="00D84174">
            <w:pPr>
              <w:rPr>
                <w:rFonts w:ascii="Times New Roman" w:hAnsi="Times New Roman" w:cs="Times New Roman"/>
                <w:b/>
                <w:sz w:val="28"/>
                <w:szCs w:val="28"/>
              </w:rPr>
            </w:pP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w:t>
            </w:r>
          </w:p>
        </w:tc>
      </w:tr>
      <w:tr w:rsidR="00D84174" w:rsidRPr="00737A3E" w:rsidTr="00F2302D">
        <w:tc>
          <w:tcPr>
            <w:tcW w:w="3828" w:type="dxa"/>
            <w:vMerge/>
            <w:tcBorders>
              <w:top w:val="single" w:sz="4" w:space="0" w:color="auto"/>
              <w:left w:val="single" w:sz="4" w:space="0" w:color="auto"/>
              <w:bottom w:val="single" w:sz="4" w:space="0" w:color="auto"/>
              <w:right w:val="single" w:sz="4" w:space="0" w:color="auto"/>
            </w:tcBorders>
            <w:vAlign w:val="center"/>
          </w:tcPr>
          <w:p w:rsidR="00D84174" w:rsidRPr="00D84174" w:rsidRDefault="00D84174" w:rsidP="00D84174">
            <w:pPr>
              <w:rPr>
                <w:rFonts w:ascii="Times New Roman" w:hAnsi="Times New Roman" w:cs="Times New Roman"/>
                <w:b/>
                <w:sz w:val="28"/>
                <w:szCs w:val="28"/>
              </w:rPr>
            </w:pP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w:t>
            </w:r>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lang w:val="en-US"/>
              </w:rPr>
            </w:pPr>
            <w:r w:rsidRPr="00D84174">
              <w:rPr>
                <w:rFonts w:ascii="Times New Roman" w:hAnsi="Times New Roman" w:cs="Times New Roman"/>
                <w:b/>
                <w:sz w:val="28"/>
                <w:szCs w:val="28"/>
                <w:lang w:val="en-US"/>
              </w:rPr>
              <w:t>Form of the current asses</w:t>
            </w:r>
            <w:r w:rsidRPr="00D84174">
              <w:rPr>
                <w:rFonts w:ascii="Times New Roman" w:hAnsi="Times New Roman" w:cs="Times New Roman"/>
                <w:b/>
                <w:sz w:val="28"/>
                <w:szCs w:val="28"/>
                <w:lang w:val="en-US"/>
              </w:rPr>
              <w:t>s</w:t>
            </w:r>
            <w:r w:rsidRPr="00D84174">
              <w:rPr>
                <w:rFonts w:ascii="Times New Roman" w:hAnsi="Times New Roman" w:cs="Times New Roman"/>
                <w:b/>
                <w:sz w:val="28"/>
                <w:szCs w:val="28"/>
                <w:lang w:val="en-US"/>
              </w:rPr>
              <w:t>ment (</w:t>
            </w:r>
            <w:r w:rsidRPr="00D84174">
              <w:rPr>
                <w:rFonts w:ascii="Times New Roman" w:hAnsi="Times New Roman" w:cs="Times New Roman"/>
                <w:b/>
                <w:i/>
                <w:sz w:val="28"/>
                <w:szCs w:val="28"/>
                <w:lang w:val="en-US"/>
              </w:rPr>
              <w:t>credit/ graded credit /exam</w:t>
            </w:r>
            <w:r w:rsidRPr="00D84174">
              <w:rPr>
                <w:rFonts w:ascii="Times New Roman" w:hAnsi="Times New Roman" w:cs="Times New Roman"/>
                <w:b/>
                <w:sz w:val="28"/>
                <w:szCs w:val="28"/>
                <w:lang w:val="en-US"/>
              </w:rPr>
              <w:t>)</w:t>
            </w:r>
          </w:p>
        </w:tc>
        <w:tc>
          <w:tcPr>
            <w:tcW w:w="5811" w:type="dxa"/>
          </w:tcPr>
          <w:p w:rsidR="00D84174" w:rsidRPr="00737A3E" w:rsidRDefault="00030ACD" w:rsidP="00D84174">
            <w:pPr>
              <w:rPr>
                <w:rFonts w:ascii="Times New Roman" w:hAnsi="Times New Roman" w:cs="Times New Roman"/>
                <w:sz w:val="26"/>
                <w:szCs w:val="26"/>
              </w:rPr>
            </w:pPr>
            <w:r>
              <w:rPr>
                <w:rFonts w:ascii="Times New Roman" w:hAnsi="Times New Roman" w:cs="Times New Roman"/>
                <w:sz w:val="26"/>
                <w:szCs w:val="26"/>
                <w:lang w:val="en-US"/>
              </w:rPr>
              <w:t>graded</w:t>
            </w:r>
            <w:r w:rsidR="00D84174" w:rsidRPr="00D84174">
              <w:rPr>
                <w:rFonts w:ascii="Times New Roman" w:hAnsi="Times New Roman" w:cs="Times New Roman"/>
                <w:sz w:val="26"/>
                <w:szCs w:val="26"/>
              </w:rPr>
              <w:t xml:space="preserve"> </w:t>
            </w:r>
            <w:proofErr w:type="spellStart"/>
            <w:r w:rsidR="00D84174" w:rsidRPr="00D84174">
              <w:rPr>
                <w:rFonts w:ascii="Times New Roman" w:hAnsi="Times New Roman" w:cs="Times New Roman"/>
                <w:sz w:val="26"/>
                <w:szCs w:val="26"/>
              </w:rPr>
              <w:t>credit</w:t>
            </w:r>
            <w:proofErr w:type="spellEnd"/>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Fonts w:ascii="Times New Roman" w:hAnsi="Times New Roman" w:cs="Times New Roman"/>
                <w:b/>
                <w:sz w:val="28"/>
                <w:szCs w:val="28"/>
                <w:lang w:val="en-US"/>
              </w:rPr>
              <w:t>Number of credit points</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2</w:t>
            </w:r>
          </w:p>
        </w:tc>
      </w:tr>
      <w:tr w:rsidR="00D84174" w:rsidRPr="002D3A08"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Fonts w:ascii="Times New Roman" w:hAnsi="Times New Roman" w:cs="Times New Roman"/>
                <w:b/>
                <w:sz w:val="28"/>
                <w:szCs w:val="28"/>
                <w:lang w:val="en-US"/>
              </w:rPr>
              <w:t>Competences</w:t>
            </w:r>
          </w:p>
        </w:tc>
        <w:tc>
          <w:tcPr>
            <w:tcW w:w="5811" w:type="dxa"/>
          </w:tcPr>
          <w:p w:rsidR="00D84174" w:rsidRPr="00D84174" w:rsidRDefault="00D84174" w:rsidP="00D84174">
            <w:pPr>
              <w:jc w:val="both"/>
              <w:rPr>
                <w:rFonts w:ascii="Times New Roman" w:eastAsia="Times New Roman" w:hAnsi="Times New Roman" w:cs="Times New Roman"/>
                <w:sz w:val="26"/>
                <w:szCs w:val="26"/>
                <w:lang w:val="en-US"/>
              </w:rPr>
            </w:pPr>
            <w:r w:rsidRPr="00D84174">
              <w:rPr>
                <w:rFonts w:ascii="Times New Roman" w:hAnsi="Times New Roman" w:cs="Times New Roman"/>
                <w:sz w:val="26"/>
                <w:szCs w:val="26"/>
                <w:lang w:val="en-US"/>
              </w:rPr>
              <w:t>Know the main categories and concepts of cultural theory; the structure and functions of culture; the main cultural concepts; the typological structure of culture; the characteristics of cultural eras and styles; the specifics of cultural analysis of modern processes and phenomena</w:t>
            </w:r>
          </w:p>
        </w:tc>
      </w:tr>
      <w:tr w:rsidR="00D84174" w:rsidRPr="00737A3E" w:rsidTr="001F58B0">
        <w:tc>
          <w:tcPr>
            <w:tcW w:w="9639" w:type="dxa"/>
            <w:gridSpan w:val="2"/>
          </w:tcPr>
          <w:p w:rsidR="00D84174" w:rsidRPr="00030ACD" w:rsidRDefault="00D84174" w:rsidP="00D84174">
            <w:pPr>
              <w:jc w:val="center"/>
              <w:rPr>
                <w:rFonts w:ascii="Times New Roman" w:hAnsi="Times New Roman" w:cs="Times New Roman"/>
                <w:b/>
                <w:sz w:val="26"/>
                <w:szCs w:val="26"/>
                <w:lang w:val="en-US"/>
              </w:rPr>
            </w:pPr>
            <w:r w:rsidRPr="00030ACD">
              <w:rPr>
                <w:rFonts w:ascii="Times New Roman" w:hAnsi="Times New Roman" w:cs="Times New Roman"/>
                <w:b/>
                <w:sz w:val="26"/>
                <w:szCs w:val="26"/>
                <w:lang w:val="en-US"/>
              </w:rPr>
              <w:t>Summary of the academic discipline:</w:t>
            </w:r>
          </w:p>
          <w:p w:rsidR="00D84174" w:rsidRPr="00737A3E" w:rsidRDefault="00D84174" w:rsidP="001F58B0">
            <w:pPr>
              <w:ind w:firstLine="714"/>
              <w:jc w:val="both"/>
              <w:rPr>
                <w:rFonts w:ascii="Times New Roman" w:eastAsia="Times New Roman" w:hAnsi="Times New Roman" w:cs="Times New Roman"/>
                <w:sz w:val="26"/>
                <w:szCs w:val="26"/>
              </w:rPr>
            </w:pPr>
            <w:r w:rsidRPr="00D84174">
              <w:rPr>
                <w:rFonts w:ascii="Times New Roman" w:eastAsia="Times New Roman" w:hAnsi="Times New Roman" w:cs="Times New Roman"/>
                <w:sz w:val="26"/>
                <w:szCs w:val="26"/>
                <w:lang w:val="en-US"/>
              </w:rPr>
              <w:t>The subject and content of cultural studies as a science and academic discipline. Approaches to defining culture. Historical ideas about culture. Culture as a global self-developing system. National and ethnic dimension of culture. The relationship of culture with social and ecological systems. Culture and civilization. The main functions of cu</w:t>
            </w:r>
            <w:r w:rsidRPr="00D84174">
              <w:rPr>
                <w:rFonts w:ascii="Times New Roman" w:eastAsia="Times New Roman" w:hAnsi="Times New Roman" w:cs="Times New Roman"/>
                <w:sz w:val="26"/>
                <w:szCs w:val="26"/>
                <w:lang w:val="en-US"/>
              </w:rPr>
              <w:t>l</w:t>
            </w:r>
            <w:r w:rsidRPr="00D84174">
              <w:rPr>
                <w:rFonts w:ascii="Times New Roman" w:eastAsia="Times New Roman" w:hAnsi="Times New Roman" w:cs="Times New Roman"/>
                <w:sz w:val="26"/>
                <w:szCs w:val="26"/>
                <w:lang w:val="en-US"/>
              </w:rPr>
              <w:t>ture. The structure of culture. Social, historical, semiotic, ethnic and other criteria of the typology of culture. The culture of social communities. Elite, mass, marginal cultures. The concept of counterculture and subculture. The problem of the typology of cultures of modern civilization. Historical development of culture. The culture of early civilizations of the Ancient East. The main features of the culture of ancient Eastern civilizations. A</w:t>
            </w:r>
            <w:r w:rsidRPr="00D84174">
              <w:rPr>
                <w:rFonts w:ascii="Times New Roman" w:eastAsia="Times New Roman" w:hAnsi="Times New Roman" w:cs="Times New Roman"/>
                <w:sz w:val="26"/>
                <w:szCs w:val="26"/>
                <w:lang w:val="en-US"/>
              </w:rPr>
              <w:t>n</w:t>
            </w:r>
            <w:r w:rsidRPr="00D84174">
              <w:rPr>
                <w:rFonts w:ascii="Times New Roman" w:eastAsia="Times New Roman" w:hAnsi="Times New Roman" w:cs="Times New Roman"/>
                <w:sz w:val="26"/>
                <w:szCs w:val="26"/>
                <w:lang w:val="en-US"/>
              </w:rPr>
              <w:t>cient culture. European culture of the Middle Ages. Features of the medieval culture of Belarus. Renaissance culture. Content, periodization and features of the Renaissance cu</w:t>
            </w:r>
            <w:r w:rsidRPr="00D84174">
              <w:rPr>
                <w:rFonts w:ascii="Times New Roman" w:eastAsia="Times New Roman" w:hAnsi="Times New Roman" w:cs="Times New Roman"/>
                <w:sz w:val="26"/>
                <w:szCs w:val="26"/>
                <w:lang w:val="en-US"/>
              </w:rPr>
              <w:t>l</w:t>
            </w:r>
            <w:r w:rsidRPr="00D84174">
              <w:rPr>
                <w:rFonts w:ascii="Times New Roman" w:eastAsia="Times New Roman" w:hAnsi="Times New Roman" w:cs="Times New Roman"/>
                <w:sz w:val="26"/>
                <w:szCs w:val="26"/>
                <w:lang w:val="en-US"/>
              </w:rPr>
              <w:t>ture. Renaissance in Belarus. New European culture. Culture of the 17th-18th centuries. Enlightenment as a type of culture. Features of the development of Belarusian culture in the 17th-18th centuries. The main trends in the development of culture in the 19th cent</w:t>
            </w:r>
            <w:r w:rsidRPr="00D84174">
              <w:rPr>
                <w:rFonts w:ascii="Times New Roman" w:eastAsia="Times New Roman" w:hAnsi="Times New Roman" w:cs="Times New Roman"/>
                <w:sz w:val="26"/>
                <w:szCs w:val="26"/>
                <w:lang w:val="en-US"/>
              </w:rPr>
              <w:t>u</w:t>
            </w:r>
            <w:r w:rsidRPr="00D84174">
              <w:rPr>
                <w:rFonts w:ascii="Times New Roman" w:eastAsia="Times New Roman" w:hAnsi="Times New Roman" w:cs="Times New Roman"/>
                <w:sz w:val="26"/>
                <w:szCs w:val="26"/>
                <w:lang w:val="en-US"/>
              </w:rPr>
              <w:t xml:space="preserve">ry. Decadence as a socio-cultural, ideological phenomenon of the late 19th – early 20th centuries. National revival in Belarus and its representatives. Culture of the 20th century. The turn of the 20th-21st centuries: new civilizational challenges. Culture of Belarus in the Soviet period. National and cultural revival of the late 20th century in Belarus. </w:t>
            </w:r>
            <w:proofErr w:type="spellStart"/>
            <w:r w:rsidRPr="00D84174">
              <w:rPr>
                <w:rFonts w:ascii="Times New Roman" w:eastAsia="Times New Roman" w:hAnsi="Times New Roman" w:cs="Times New Roman"/>
                <w:sz w:val="26"/>
                <w:szCs w:val="26"/>
              </w:rPr>
              <w:t>Culture</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of</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the</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early</w:t>
            </w:r>
            <w:proofErr w:type="spellEnd"/>
            <w:r w:rsidRPr="00D84174">
              <w:rPr>
                <w:rFonts w:ascii="Times New Roman" w:eastAsia="Times New Roman" w:hAnsi="Times New Roman" w:cs="Times New Roman"/>
                <w:sz w:val="26"/>
                <w:szCs w:val="26"/>
              </w:rPr>
              <w:t xml:space="preserve"> 2000s. </w:t>
            </w:r>
            <w:proofErr w:type="spellStart"/>
            <w:r w:rsidRPr="00D84174">
              <w:rPr>
                <w:rFonts w:ascii="Times New Roman" w:eastAsia="Times New Roman" w:hAnsi="Times New Roman" w:cs="Times New Roman"/>
                <w:sz w:val="26"/>
                <w:szCs w:val="26"/>
              </w:rPr>
              <w:t>Culture</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of</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sovereign</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Belarus</w:t>
            </w:r>
            <w:proofErr w:type="spellEnd"/>
            <w:r w:rsidRPr="00D84174">
              <w:rPr>
                <w:rFonts w:ascii="Times New Roman" w:eastAsia="Times New Roman" w:hAnsi="Times New Roman" w:cs="Times New Roman"/>
                <w:sz w:val="26"/>
                <w:szCs w:val="26"/>
              </w:rPr>
              <w:t>.</w:t>
            </w:r>
          </w:p>
        </w:tc>
      </w:tr>
    </w:tbl>
    <w:p w:rsidR="00D84174" w:rsidRPr="00737A3E" w:rsidRDefault="00D84174" w:rsidP="00C240B9">
      <w:pPr>
        <w:shd w:val="clear" w:color="auto" w:fill="FFFFFF"/>
        <w:spacing w:after="0" w:line="240" w:lineRule="auto"/>
        <w:jc w:val="both"/>
        <w:outlineLvl w:val="0"/>
        <w:rPr>
          <w:rFonts w:ascii="Times New Roman" w:hAnsi="Times New Roman" w:cs="Times New Roman"/>
          <w:sz w:val="26"/>
          <w:szCs w:val="26"/>
        </w:rPr>
      </w:pPr>
    </w:p>
    <w:sectPr w:rsidR="00D84174" w:rsidRPr="00737A3E" w:rsidSect="00737A3E">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0ACD"/>
    <w:rsid w:val="0007061C"/>
    <w:rsid w:val="00095E27"/>
    <w:rsid w:val="000A4978"/>
    <w:rsid w:val="000D6797"/>
    <w:rsid w:val="000F40A1"/>
    <w:rsid w:val="00106670"/>
    <w:rsid w:val="0016054E"/>
    <w:rsid w:val="001B30A3"/>
    <w:rsid w:val="0021620D"/>
    <w:rsid w:val="002731E9"/>
    <w:rsid w:val="002B7BA5"/>
    <w:rsid w:val="002D3A08"/>
    <w:rsid w:val="0039524C"/>
    <w:rsid w:val="003B34B4"/>
    <w:rsid w:val="003B677D"/>
    <w:rsid w:val="0045303A"/>
    <w:rsid w:val="004D4DC3"/>
    <w:rsid w:val="00567CFD"/>
    <w:rsid w:val="005D3049"/>
    <w:rsid w:val="005F439D"/>
    <w:rsid w:val="00603DBB"/>
    <w:rsid w:val="006817C7"/>
    <w:rsid w:val="006970AB"/>
    <w:rsid w:val="006C0671"/>
    <w:rsid w:val="0070534F"/>
    <w:rsid w:val="00717C4B"/>
    <w:rsid w:val="00737A3E"/>
    <w:rsid w:val="00742CB7"/>
    <w:rsid w:val="007622D7"/>
    <w:rsid w:val="0079340F"/>
    <w:rsid w:val="007F6F0B"/>
    <w:rsid w:val="00833CF4"/>
    <w:rsid w:val="008C4553"/>
    <w:rsid w:val="008D3B89"/>
    <w:rsid w:val="00907D39"/>
    <w:rsid w:val="009A4618"/>
    <w:rsid w:val="009C30EE"/>
    <w:rsid w:val="00A466A9"/>
    <w:rsid w:val="00AC5C3F"/>
    <w:rsid w:val="00AD0F01"/>
    <w:rsid w:val="00B175A9"/>
    <w:rsid w:val="00BC1BC7"/>
    <w:rsid w:val="00C240B9"/>
    <w:rsid w:val="00C54466"/>
    <w:rsid w:val="00CC7B58"/>
    <w:rsid w:val="00D54886"/>
    <w:rsid w:val="00D84174"/>
    <w:rsid w:val="00DF31DC"/>
    <w:rsid w:val="00E51592"/>
    <w:rsid w:val="00E560DF"/>
    <w:rsid w:val="00E9296C"/>
    <w:rsid w:val="00EA34F1"/>
    <w:rsid w:val="00F01BBA"/>
    <w:rsid w:val="00F036E6"/>
    <w:rsid w:val="00F177D8"/>
    <w:rsid w:val="00F32B07"/>
    <w:rsid w:val="00F40FD0"/>
    <w:rsid w:val="00F8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D841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D84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740A6-F725-4BDF-B150-C424A8FC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2025-07-18T10:37:00Z</dcterms:created>
  <dcterms:modified xsi:type="dcterms:W3CDTF">2025-07-18T10:37:00Z</dcterms:modified>
</cp:coreProperties>
</file>