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4E" w:rsidRPr="00D11C70" w:rsidRDefault="00D11C70" w:rsidP="00D1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70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D11C70" w:rsidRDefault="00D11C70" w:rsidP="00D1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70">
        <w:rPr>
          <w:rFonts w:ascii="Times New Roman" w:hAnsi="Times New Roman" w:cs="Times New Roman"/>
          <w:b/>
          <w:sz w:val="28"/>
          <w:szCs w:val="28"/>
        </w:rPr>
        <w:t>«Криминология»</w:t>
      </w:r>
    </w:p>
    <w:tbl>
      <w:tblPr>
        <w:tblpPr w:leftFromText="180" w:rightFromText="180" w:vertAnchor="page" w:tblpY="2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8"/>
        <w:gridCol w:w="5417"/>
      </w:tblGrid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1-24 01 03 Экономическое право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Семинарские занятия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1C70" w:rsidTr="00D11C7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C70" w:rsidRPr="00D11C70" w:rsidRDefault="00D11C7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Прогнозировать тенденции преступности и планировать меры по её предупреждению, выявлять и устранять причины и условия преступлений</w:t>
            </w:r>
            <w:r w:rsidRPr="00D11C70">
              <w:rPr>
                <w:rFonts w:ascii="Times New Roman" w:hAnsi="Times New Roman"/>
                <w:sz w:val="28"/>
                <w:szCs w:val="28"/>
              </w:rPr>
              <w:tab/>
            </w:r>
            <w:r w:rsidRPr="00D11C70">
              <w:rPr>
                <w:rFonts w:ascii="Times New Roman" w:hAnsi="Times New Roman"/>
                <w:sz w:val="28"/>
                <w:szCs w:val="28"/>
              </w:rPr>
              <w:tab/>
            </w:r>
            <w:r w:rsidRPr="00D11C7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D11C70" w:rsidTr="00D11C70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C70" w:rsidRPr="00D11C70" w:rsidRDefault="00D11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C70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11C70" w:rsidRPr="00D11C70" w:rsidRDefault="00D11C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C70">
              <w:rPr>
                <w:rFonts w:ascii="Times New Roman" w:hAnsi="Times New Roman"/>
                <w:sz w:val="28"/>
                <w:szCs w:val="28"/>
              </w:rPr>
              <w:t>Понятие, предмет, задачи и система криминологии. Развитие криминологии. Криминологические исследования в Беларуси. Понятие преступности. Преступность в Республике Беларусь. Научные школы и теории в криминологии. Причины и условия преступности. Причины, условия, механизм преступного поведения. Личность преступника. Предупреждение преступлений. Методика криминологических исследований. Криминологическое прогнозирование и планирование предупреждения преступлений. Преступность несовершеннолетних. Криминологическая характеристика, причины и предупреждение. Рецидивная и профессиональная преступность. Криминологическая характеристика, причины и предупреждение. Насильственная преступность. Криминологическая характеристика, причины и предупреждение. Корыстная, корыстно-насильственная преступность. Криминологическая характеристика, причины и предупреждения. Неосторожная преступность. Криминологическая характеристика, причины и предупреждение. Современные вызовы преступности: коррупционная и организованная преступность, терроризм.</w:t>
            </w:r>
            <w:bookmarkStart w:id="0" w:name="_GoBack"/>
            <w:bookmarkEnd w:id="0"/>
          </w:p>
        </w:tc>
      </w:tr>
    </w:tbl>
    <w:p w:rsidR="00D11C70" w:rsidRPr="00D11C70" w:rsidRDefault="00D11C70" w:rsidP="00D11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1C70" w:rsidRPr="00D11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47"/>
    <w:rsid w:val="00711647"/>
    <w:rsid w:val="00714B4E"/>
    <w:rsid w:val="00D1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BC27"/>
  <w15:chartTrackingRefBased/>
  <w15:docId w15:val="{E556070C-3FEC-41F6-8FE6-16F51096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2022-11-01T06:50:00Z</dcterms:created>
  <dcterms:modified xsi:type="dcterms:W3CDTF">2022-11-01T06:51:00Z</dcterms:modified>
</cp:coreProperties>
</file>