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A68" w:rsidRDefault="004E3A68" w:rsidP="002C1AC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4E3A68" w:rsidRDefault="004E3A68" w:rsidP="004E3A6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4E3A68">
        <w:rPr>
          <w:rFonts w:ascii="Times New Roman" w:hAnsi="Times New Roman"/>
          <w:b/>
          <w:color w:val="000000"/>
          <w:sz w:val="28"/>
          <w:szCs w:val="28"/>
          <w:lang w:val="be-BY"/>
        </w:rPr>
        <w:t>Risk and Crisis Communications</w:t>
      </w:r>
      <w:bookmarkEnd w:id="0"/>
      <w:r>
        <w:rPr>
          <w:rFonts w:ascii="Times New Roman" w:hAnsi="Times New Roman" w:cs="Times New Roman"/>
          <w:b/>
          <w:sz w:val="28"/>
          <w:szCs w:val="28"/>
          <w:lang w:val="en-US"/>
        </w:rPr>
        <w:t>”</w:t>
      </w:r>
    </w:p>
    <w:p w:rsidR="004E3A68" w:rsidRDefault="004E3A68" w:rsidP="004E3A68">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4E3A68" w:rsidTr="004E3A68">
        <w:tc>
          <w:tcPr>
            <w:tcW w:w="3227" w:type="dxa"/>
            <w:tcBorders>
              <w:top w:val="single" w:sz="4" w:space="0" w:color="auto"/>
              <w:left w:val="single" w:sz="4" w:space="0" w:color="auto"/>
              <w:bottom w:val="single" w:sz="4" w:space="0" w:color="auto"/>
              <w:right w:val="single" w:sz="4" w:space="0" w:color="auto"/>
            </w:tcBorders>
            <w:hideMark/>
          </w:tcPr>
          <w:p w:rsidR="004E3A68" w:rsidRPr="004E3A68" w:rsidRDefault="004E3A68">
            <w:pPr>
              <w:rPr>
                <w:rFonts w:ascii="Times New Roman" w:hAnsi="Times New Roman" w:cs="Times New Roman"/>
                <w:b/>
                <w:sz w:val="28"/>
                <w:szCs w:val="28"/>
                <w:lang w:val="en-US" w:eastAsia="en-US"/>
              </w:rPr>
            </w:pPr>
            <w:r w:rsidRPr="004E3A68">
              <w:rPr>
                <w:rStyle w:val="a5"/>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E3A68" w:rsidRDefault="004E3A68">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4E3A68" w:rsidTr="004E3A68">
        <w:tc>
          <w:tcPr>
            <w:tcW w:w="3227" w:type="dxa"/>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E3A68" w:rsidRPr="00AB7BE7" w:rsidRDefault="004E3A68" w:rsidP="000F04A0">
            <w:pPr>
              <w:rPr>
                <w:rFonts w:ascii="Times New Roman" w:hAnsi="Times New Roman" w:cs="Times New Roman"/>
                <w:sz w:val="28"/>
                <w:szCs w:val="28"/>
              </w:rPr>
            </w:pPr>
            <w:r w:rsidRPr="00AB7BE7">
              <w:rPr>
                <w:rFonts w:ascii="Times New Roman" w:hAnsi="Times New Roman" w:cs="Times New Roman"/>
                <w:sz w:val="28"/>
                <w:szCs w:val="28"/>
              </w:rPr>
              <w:t>4</w:t>
            </w:r>
          </w:p>
        </w:tc>
      </w:tr>
      <w:tr w:rsidR="004E3A68" w:rsidTr="004E3A68">
        <w:tc>
          <w:tcPr>
            <w:tcW w:w="3227" w:type="dxa"/>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E3A68" w:rsidRPr="00AB7BE7" w:rsidRDefault="004E3A68" w:rsidP="000F04A0">
            <w:pPr>
              <w:rPr>
                <w:rFonts w:ascii="Times New Roman" w:hAnsi="Times New Roman" w:cs="Times New Roman"/>
                <w:sz w:val="28"/>
                <w:szCs w:val="28"/>
              </w:rPr>
            </w:pPr>
            <w:r w:rsidRPr="00AB7BE7">
              <w:rPr>
                <w:rFonts w:ascii="Times New Roman" w:hAnsi="Times New Roman" w:cs="Times New Roman"/>
                <w:sz w:val="28"/>
                <w:szCs w:val="28"/>
              </w:rPr>
              <w:t>7</w:t>
            </w:r>
          </w:p>
        </w:tc>
      </w:tr>
      <w:tr w:rsidR="004E3A68" w:rsidTr="004E3A68">
        <w:tc>
          <w:tcPr>
            <w:tcW w:w="3227" w:type="dxa"/>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E3A68" w:rsidRPr="00AB7BE7" w:rsidRDefault="004E3A68" w:rsidP="000F04A0">
            <w:pPr>
              <w:rPr>
                <w:rFonts w:ascii="Times New Roman" w:hAnsi="Times New Roman" w:cs="Times New Roman"/>
                <w:sz w:val="28"/>
                <w:szCs w:val="28"/>
              </w:rPr>
            </w:pPr>
            <w:r w:rsidRPr="00AB7BE7">
              <w:rPr>
                <w:rFonts w:ascii="Times New Roman" w:hAnsi="Times New Roman" w:cs="Times New Roman"/>
                <w:sz w:val="28"/>
                <w:szCs w:val="28"/>
              </w:rPr>
              <w:t>68</w:t>
            </w:r>
          </w:p>
        </w:tc>
      </w:tr>
      <w:tr w:rsidR="004E3A68" w:rsidTr="004E3A68">
        <w:tc>
          <w:tcPr>
            <w:tcW w:w="3227" w:type="dxa"/>
            <w:vMerge w:val="restart"/>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4E3A68" w:rsidRDefault="004E3A68">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E3A68" w:rsidRPr="00AB7BE7" w:rsidRDefault="004E3A68" w:rsidP="000F04A0">
            <w:pPr>
              <w:rPr>
                <w:rFonts w:ascii="Times New Roman" w:hAnsi="Times New Roman" w:cs="Times New Roman"/>
                <w:sz w:val="28"/>
                <w:szCs w:val="28"/>
              </w:rPr>
            </w:pPr>
            <w:r w:rsidRPr="00AB7BE7">
              <w:rPr>
                <w:rFonts w:ascii="Times New Roman" w:hAnsi="Times New Roman" w:cs="Times New Roman"/>
                <w:sz w:val="28"/>
                <w:szCs w:val="28"/>
              </w:rPr>
              <w:t>30</w:t>
            </w:r>
          </w:p>
        </w:tc>
      </w:tr>
      <w:tr w:rsidR="004E3A68" w:rsidTr="004E3A68">
        <w:tc>
          <w:tcPr>
            <w:tcW w:w="0" w:type="auto"/>
            <w:vMerge/>
            <w:tcBorders>
              <w:top w:val="single" w:sz="4" w:space="0" w:color="auto"/>
              <w:left w:val="single" w:sz="4" w:space="0" w:color="auto"/>
              <w:bottom w:val="single" w:sz="4" w:space="0" w:color="auto"/>
              <w:right w:val="single" w:sz="4" w:space="0" w:color="auto"/>
            </w:tcBorders>
            <w:vAlign w:val="center"/>
            <w:hideMark/>
          </w:tcPr>
          <w:p w:rsidR="004E3A68" w:rsidRDefault="004E3A68">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4E3A68" w:rsidRPr="00AB7BE7" w:rsidRDefault="004E3A68" w:rsidP="000F04A0">
            <w:pPr>
              <w:rPr>
                <w:rFonts w:ascii="Times New Roman" w:hAnsi="Times New Roman" w:cs="Times New Roman"/>
                <w:sz w:val="28"/>
                <w:szCs w:val="28"/>
              </w:rPr>
            </w:pPr>
            <w:r w:rsidRPr="00AB7BE7">
              <w:rPr>
                <w:rFonts w:ascii="Times New Roman" w:hAnsi="Times New Roman" w:cs="Times New Roman"/>
                <w:sz w:val="28"/>
                <w:szCs w:val="28"/>
              </w:rPr>
              <w:t>38</w:t>
            </w:r>
          </w:p>
        </w:tc>
      </w:tr>
      <w:tr w:rsidR="004E3A68" w:rsidTr="004E3A68">
        <w:tc>
          <w:tcPr>
            <w:tcW w:w="0" w:type="auto"/>
            <w:vMerge/>
            <w:tcBorders>
              <w:top w:val="single" w:sz="4" w:space="0" w:color="auto"/>
              <w:left w:val="single" w:sz="4" w:space="0" w:color="auto"/>
              <w:bottom w:val="single" w:sz="4" w:space="0" w:color="auto"/>
              <w:right w:val="single" w:sz="4" w:space="0" w:color="auto"/>
            </w:tcBorders>
            <w:vAlign w:val="center"/>
            <w:hideMark/>
          </w:tcPr>
          <w:p w:rsidR="004E3A68" w:rsidRDefault="004E3A68">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4E3A68" w:rsidRPr="00AB7BE7" w:rsidRDefault="004E3A68" w:rsidP="000F04A0">
            <w:pPr>
              <w:rPr>
                <w:rFonts w:ascii="Times New Roman" w:hAnsi="Times New Roman" w:cs="Times New Roman"/>
                <w:sz w:val="28"/>
                <w:szCs w:val="28"/>
              </w:rPr>
            </w:pPr>
            <w:r w:rsidRPr="00AB7BE7">
              <w:rPr>
                <w:rFonts w:ascii="Times New Roman" w:hAnsi="Times New Roman" w:cs="Times New Roman"/>
                <w:sz w:val="28"/>
                <w:szCs w:val="28"/>
              </w:rPr>
              <w:t>-</w:t>
            </w:r>
          </w:p>
        </w:tc>
      </w:tr>
      <w:tr w:rsidR="004E3A68" w:rsidTr="004E3A68">
        <w:tc>
          <w:tcPr>
            <w:tcW w:w="0" w:type="auto"/>
            <w:vMerge/>
            <w:tcBorders>
              <w:top w:val="single" w:sz="4" w:space="0" w:color="auto"/>
              <w:left w:val="single" w:sz="4" w:space="0" w:color="auto"/>
              <w:bottom w:val="single" w:sz="4" w:space="0" w:color="auto"/>
              <w:right w:val="single" w:sz="4" w:space="0" w:color="auto"/>
            </w:tcBorders>
            <w:vAlign w:val="center"/>
            <w:hideMark/>
          </w:tcPr>
          <w:p w:rsidR="004E3A68" w:rsidRDefault="004E3A68">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4E3A68" w:rsidRPr="00AB7BE7" w:rsidRDefault="004E3A68" w:rsidP="000F04A0">
            <w:pPr>
              <w:rPr>
                <w:rFonts w:ascii="Times New Roman" w:hAnsi="Times New Roman" w:cs="Times New Roman"/>
                <w:sz w:val="28"/>
                <w:szCs w:val="28"/>
              </w:rPr>
            </w:pPr>
            <w:r w:rsidRPr="00AB7BE7">
              <w:rPr>
                <w:rFonts w:ascii="Times New Roman" w:hAnsi="Times New Roman" w:cs="Times New Roman"/>
                <w:sz w:val="28"/>
                <w:szCs w:val="28"/>
              </w:rPr>
              <w:t>-</w:t>
            </w:r>
          </w:p>
        </w:tc>
      </w:tr>
      <w:tr w:rsidR="004E3A68" w:rsidTr="004E3A68">
        <w:tc>
          <w:tcPr>
            <w:tcW w:w="3227" w:type="dxa"/>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4E3A68" w:rsidRPr="004E3A68" w:rsidRDefault="004E3A68" w:rsidP="000F04A0">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4E3A68" w:rsidTr="004E3A68">
        <w:tc>
          <w:tcPr>
            <w:tcW w:w="3227" w:type="dxa"/>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4E3A68" w:rsidRPr="002C1ACA" w:rsidTr="004E3A68">
        <w:tc>
          <w:tcPr>
            <w:tcW w:w="3227" w:type="dxa"/>
            <w:tcBorders>
              <w:top w:val="single" w:sz="4" w:space="0" w:color="auto"/>
              <w:left w:val="single" w:sz="4" w:space="0" w:color="auto"/>
              <w:bottom w:val="single" w:sz="4" w:space="0" w:color="auto"/>
              <w:right w:val="single" w:sz="4" w:space="0" w:color="auto"/>
            </w:tcBorders>
            <w:hideMark/>
          </w:tcPr>
          <w:p w:rsidR="004E3A68" w:rsidRDefault="004E3A68">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E3A68" w:rsidRPr="004E3A68" w:rsidRDefault="004E3A68" w:rsidP="004E3A68">
            <w:pPr>
              <w:pStyle w:val="a4"/>
              <w:ind w:left="0"/>
              <w:jc w:val="both"/>
              <w:rPr>
                <w:rFonts w:eastAsiaTheme="minorEastAsia"/>
                <w:sz w:val="22"/>
                <w:szCs w:val="22"/>
                <w:lang w:val="en-US" w:eastAsia="en-US"/>
              </w:rPr>
            </w:pPr>
            <w:r w:rsidRPr="004E3A68">
              <w:rPr>
                <w:lang w:val="be-BY"/>
              </w:rPr>
              <w:t xml:space="preserve">Mastering the academic discipline </w:t>
            </w:r>
            <w:r>
              <w:rPr>
                <w:lang w:val="en-US"/>
              </w:rPr>
              <w:t>“</w:t>
            </w:r>
            <w:r w:rsidRPr="004E3A68">
              <w:rPr>
                <w:lang w:val="be-BY"/>
              </w:rPr>
              <w:t>Risk and Crisis Communications</w:t>
            </w:r>
            <w:r>
              <w:rPr>
                <w:lang w:val="en-US"/>
              </w:rPr>
              <w:t>”</w:t>
            </w:r>
            <w:r w:rsidRPr="004E3A68">
              <w:rPr>
                <w:lang w:val="be-BY"/>
              </w:rPr>
              <w:t xml:space="preserve"> should ensure the formation and development of special competence: organizing communication processes in situations of risk and crisis in various spheres of public life</w:t>
            </w:r>
          </w:p>
        </w:tc>
      </w:tr>
      <w:tr w:rsidR="004E3A68" w:rsidRPr="002C1ACA" w:rsidTr="004E3A68">
        <w:tc>
          <w:tcPr>
            <w:tcW w:w="9570" w:type="dxa"/>
            <w:gridSpan w:val="2"/>
            <w:tcBorders>
              <w:top w:val="single" w:sz="4" w:space="0" w:color="auto"/>
              <w:left w:val="single" w:sz="4" w:space="0" w:color="auto"/>
              <w:bottom w:val="single" w:sz="4" w:space="0" w:color="auto"/>
              <w:right w:val="single" w:sz="4" w:space="0" w:color="auto"/>
            </w:tcBorders>
            <w:hideMark/>
          </w:tcPr>
          <w:p w:rsidR="004E3A68" w:rsidRDefault="004E3A68">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4E3A68" w:rsidRPr="004E3A68" w:rsidRDefault="004E3A68" w:rsidP="004E3A68">
            <w:pPr>
              <w:pStyle w:val="a4"/>
              <w:ind w:left="0" w:firstLine="709"/>
              <w:jc w:val="both"/>
              <w:rPr>
                <w:rFonts w:eastAsiaTheme="minorEastAsia"/>
                <w:sz w:val="22"/>
                <w:szCs w:val="22"/>
                <w:lang w:val="en-US" w:eastAsia="en-US"/>
              </w:rPr>
            </w:pPr>
            <w:r w:rsidRPr="004E3A68">
              <w:rPr>
                <w:lang w:val="be-BY"/>
              </w:rPr>
              <w:t xml:space="preserve">The </w:t>
            </w:r>
            <w:r>
              <w:rPr>
                <w:lang w:val="en-US"/>
              </w:rPr>
              <w:t>aim</w:t>
            </w:r>
            <w:r w:rsidRPr="004E3A68">
              <w:rPr>
                <w:lang w:val="be-BY"/>
              </w:rPr>
              <w:t xml:space="preserve"> of the academic discipline is to develop and form in future specialists the necessary professional knowledge and skills in identifying and managing risks, recognizing and preventing crises in various spheres of public life. The topics covered are risk and crisis communications as a direction in riskology; the role of risk and crisis communications in the process of social development; risk and crisis communications in the system of anti-crisis management; sources of danger to the life of people and organizations; technologies for working with the public in conditions of risk and crisis; organizing activities for anti-crisis management of personnel; the role of PR in crisis management.</w:t>
            </w:r>
          </w:p>
        </w:tc>
      </w:tr>
    </w:tbl>
    <w:p w:rsidR="004E3A68" w:rsidRDefault="004E3A68" w:rsidP="004E3A68">
      <w:pPr>
        <w:spacing w:after="0" w:line="240" w:lineRule="auto"/>
        <w:rPr>
          <w:rFonts w:ascii="Times New Roman" w:hAnsi="Times New Roman" w:cs="Times New Roman"/>
          <w:sz w:val="28"/>
          <w:szCs w:val="28"/>
          <w:lang w:val="en-US" w:eastAsia="en-US"/>
        </w:rPr>
      </w:pPr>
    </w:p>
    <w:p w:rsidR="00AB7BE7" w:rsidRPr="004E3A68" w:rsidRDefault="00AB7BE7" w:rsidP="00AB7BE7">
      <w:pPr>
        <w:rPr>
          <w:rFonts w:ascii="Times New Roman" w:hAnsi="Times New Roman" w:cs="Times New Roman"/>
          <w:color w:val="000000"/>
          <w:sz w:val="28"/>
          <w:szCs w:val="28"/>
          <w:lang w:val="en-US"/>
        </w:rPr>
      </w:pPr>
    </w:p>
    <w:p w:rsidR="00A96AB4" w:rsidRPr="004E3A68" w:rsidRDefault="00A96AB4">
      <w:pPr>
        <w:rPr>
          <w:lang w:val="en-US"/>
        </w:rPr>
      </w:pPr>
    </w:p>
    <w:sectPr w:rsidR="00A96AB4" w:rsidRPr="004E3A68" w:rsidSect="00986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E7"/>
    <w:rsid w:val="002C1ACA"/>
    <w:rsid w:val="004E3A68"/>
    <w:rsid w:val="009867E2"/>
    <w:rsid w:val="00A96AB4"/>
    <w:rsid w:val="00AB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E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B7BE7"/>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4E3A68"/>
    <w:rPr>
      <w:b/>
      <w:bCs/>
    </w:rPr>
  </w:style>
  <w:style w:type="character" w:customStyle="1" w:styleId="rynqvb">
    <w:name w:val="rynqvb"/>
    <w:basedOn w:val="a0"/>
    <w:rsid w:val="004E3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E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B7BE7"/>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4E3A68"/>
    <w:rPr>
      <w:b/>
      <w:bCs/>
    </w:rPr>
  </w:style>
  <w:style w:type="character" w:customStyle="1" w:styleId="rynqvb">
    <w:name w:val="rynqvb"/>
    <w:basedOn w:val="a0"/>
    <w:rsid w:val="004E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2025-04-25T14:21:00Z</dcterms:created>
  <dcterms:modified xsi:type="dcterms:W3CDTF">2025-04-25T14:21:00Z</dcterms:modified>
</cp:coreProperties>
</file>