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74" w:rsidRDefault="00ED4074" w:rsidP="00ED407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D4074" w:rsidRDefault="00ED4074" w:rsidP="00ED407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ED4074">
        <w:rPr>
          <w:rFonts w:ascii="Times New Roman" w:hAnsi="Times New Roman"/>
          <w:b/>
          <w:sz w:val="28"/>
          <w:szCs w:val="28"/>
          <w:lang w:val="en-US"/>
        </w:rPr>
        <w:t>History of Belarusian literature of the second half of th</w:t>
      </w:r>
      <w:r>
        <w:rPr>
          <w:rFonts w:ascii="Times New Roman" w:hAnsi="Times New Roman"/>
          <w:b/>
          <w:sz w:val="28"/>
          <w:szCs w:val="28"/>
          <w:lang w:val="en-US"/>
        </w:rPr>
        <w:t>e 20th and early 21st centuries</w:t>
      </w:r>
      <w:bookmarkEnd w:id="0"/>
      <w:r>
        <w:rPr>
          <w:rFonts w:ascii="Times New Roman" w:hAnsi="Times New Roman"/>
          <w:b/>
          <w:sz w:val="28"/>
          <w:szCs w:val="28"/>
          <w:lang w:val="en-US"/>
        </w:rPr>
        <w:t>”</w:t>
      </w:r>
    </w:p>
    <w:p w:rsidR="00ED4074" w:rsidRDefault="00ED4074" w:rsidP="00ED4074">
      <w:pPr>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Style w:val="ab"/>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rPr>
            </w:pPr>
            <w:r>
              <w:rPr>
                <w:rFonts w:ascii="Times New Roman" w:hAnsi="Times New Roman"/>
                <w:sz w:val="28"/>
                <w:szCs w:val="28"/>
              </w:rPr>
              <w:t>4</w:t>
            </w:r>
          </w:p>
        </w:tc>
      </w:tr>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7, 8</w:t>
            </w:r>
          </w:p>
        </w:tc>
      </w:tr>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104</w:t>
            </w:r>
          </w:p>
        </w:tc>
      </w:tr>
      <w:tr w:rsidR="00ED4074" w:rsidTr="00ED4074">
        <w:tc>
          <w:tcPr>
            <w:tcW w:w="3227" w:type="dxa"/>
            <w:vMerge w:val="restart"/>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ED4074" w:rsidRDefault="00ED4074">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D4074" w:rsidRDefault="00ED4074">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D4074" w:rsidRP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52</w:t>
            </w:r>
          </w:p>
        </w:tc>
      </w:tr>
      <w:tr w:rsidR="00ED4074" w:rsidTr="00ED4074">
        <w:tc>
          <w:tcPr>
            <w:tcW w:w="0" w:type="auto"/>
            <w:vMerge/>
            <w:tcBorders>
              <w:top w:val="single" w:sz="4" w:space="0" w:color="auto"/>
              <w:left w:val="single" w:sz="4" w:space="0" w:color="auto"/>
              <w:bottom w:val="single" w:sz="4" w:space="0" w:color="auto"/>
              <w:right w:val="single" w:sz="4" w:space="0" w:color="auto"/>
            </w:tcBorders>
            <w:vAlign w:val="center"/>
            <w:hideMark/>
          </w:tcPr>
          <w:p w:rsidR="00ED4074" w:rsidRDefault="00ED4074">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ED4074" w:rsidTr="00ED4074">
        <w:tc>
          <w:tcPr>
            <w:tcW w:w="0" w:type="auto"/>
            <w:vMerge/>
            <w:tcBorders>
              <w:top w:val="single" w:sz="4" w:space="0" w:color="auto"/>
              <w:left w:val="single" w:sz="4" w:space="0" w:color="auto"/>
              <w:bottom w:val="single" w:sz="4" w:space="0" w:color="auto"/>
              <w:right w:val="single" w:sz="4" w:space="0" w:color="auto"/>
            </w:tcBorders>
            <w:vAlign w:val="center"/>
            <w:hideMark/>
          </w:tcPr>
          <w:p w:rsidR="00ED4074" w:rsidRDefault="00ED4074">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52</w:t>
            </w:r>
          </w:p>
        </w:tc>
      </w:tr>
      <w:tr w:rsidR="00ED4074" w:rsidTr="00ED4074">
        <w:tc>
          <w:tcPr>
            <w:tcW w:w="0" w:type="auto"/>
            <w:vMerge/>
            <w:tcBorders>
              <w:top w:val="single" w:sz="4" w:space="0" w:color="auto"/>
              <w:left w:val="single" w:sz="4" w:space="0" w:color="auto"/>
              <w:bottom w:val="single" w:sz="4" w:space="0" w:color="auto"/>
              <w:right w:val="single" w:sz="4" w:space="0" w:color="auto"/>
            </w:tcBorders>
            <w:vAlign w:val="center"/>
            <w:hideMark/>
          </w:tcPr>
          <w:p w:rsidR="00ED4074" w:rsidRDefault="00ED4074">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rPr>
            </w:pPr>
            <w:r>
              <w:rPr>
                <w:rFonts w:ascii="Times New Roman" w:hAnsi="Times New Roman"/>
                <w:sz w:val="28"/>
                <w:szCs w:val="28"/>
              </w:rPr>
              <w:t>–</w:t>
            </w:r>
          </w:p>
        </w:tc>
      </w:tr>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hAnsi="Times New Roman"/>
                <w:sz w:val="28"/>
                <w:szCs w:val="28"/>
                <w:lang w:val="en-US"/>
              </w:rPr>
            </w:pPr>
            <w:r>
              <w:rPr>
                <w:rFonts w:ascii="Times New Roman" w:hAnsi="Times New Roman"/>
                <w:sz w:val="28"/>
                <w:szCs w:val="28"/>
                <w:lang w:val="en-US"/>
              </w:rPr>
              <w:t>credit, exam</w:t>
            </w:r>
          </w:p>
        </w:tc>
      </w:tr>
      <w:tr w:rsidR="00ED4074"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D4074" w:rsidRPr="00ED4074" w:rsidRDefault="00ED4074">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6</w:t>
            </w:r>
          </w:p>
        </w:tc>
      </w:tr>
      <w:tr w:rsidR="00ED4074" w:rsidRPr="0063622C" w:rsidTr="00ED4074">
        <w:tc>
          <w:tcPr>
            <w:tcW w:w="3227" w:type="dxa"/>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D4074" w:rsidRDefault="00ED4074" w:rsidP="006B344F">
            <w:pPr>
              <w:spacing w:after="0" w:line="240" w:lineRule="auto"/>
              <w:jc w:val="both"/>
              <w:rPr>
                <w:rFonts w:ascii="Times New Roman" w:hAnsi="Times New Roman"/>
                <w:sz w:val="28"/>
                <w:szCs w:val="28"/>
                <w:lang w:val="en-US"/>
              </w:rPr>
            </w:pPr>
            <w:r w:rsidRPr="00ED4074">
              <w:rPr>
                <w:rFonts w:ascii="Times New Roman" w:hAnsi="Times New Roman"/>
                <w:sz w:val="28"/>
                <w:szCs w:val="28"/>
                <w:lang w:val="en-US"/>
              </w:rPr>
              <w:t>BP</w:t>
            </w:r>
            <w:r w:rsidR="006B344F">
              <w:rPr>
                <w:rFonts w:ascii="Times New Roman" w:hAnsi="Times New Roman"/>
                <w:sz w:val="28"/>
                <w:szCs w:val="28"/>
                <w:lang w:val="en-US"/>
              </w:rPr>
              <w:t>C</w:t>
            </w:r>
            <w:r w:rsidRPr="00ED4074">
              <w:rPr>
                <w:rFonts w:ascii="Times New Roman" w:hAnsi="Times New Roman"/>
                <w:sz w:val="28"/>
                <w:szCs w:val="28"/>
                <w:lang w:val="en-US"/>
              </w:rPr>
              <w:t>-25. To characterize the history of the development of Belarusian literature in the 20th and early 19th centuries in terms of the generic and specific affiliation of works of art, the features of their poetic and stylistic organization.</w:t>
            </w:r>
          </w:p>
        </w:tc>
      </w:tr>
      <w:tr w:rsidR="00ED4074" w:rsidRPr="0063622C" w:rsidTr="00ED4074">
        <w:tc>
          <w:tcPr>
            <w:tcW w:w="9570" w:type="dxa"/>
            <w:gridSpan w:val="2"/>
            <w:tcBorders>
              <w:top w:val="single" w:sz="4" w:space="0" w:color="auto"/>
              <w:left w:val="single" w:sz="4" w:space="0" w:color="auto"/>
              <w:bottom w:val="single" w:sz="4" w:space="0" w:color="auto"/>
              <w:right w:val="single" w:sz="4" w:space="0" w:color="auto"/>
            </w:tcBorders>
            <w:hideMark/>
          </w:tcPr>
          <w:p w:rsidR="00ED4074" w:rsidRDefault="00ED407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ED4074" w:rsidRDefault="00ED4074">
            <w:pPr>
              <w:spacing w:after="0" w:line="240" w:lineRule="auto"/>
              <w:ind w:firstLine="709"/>
              <w:jc w:val="both"/>
              <w:rPr>
                <w:rFonts w:ascii="Times New Roman" w:hAnsi="Times New Roman"/>
                <w:sz w:val="28"/>
                <w:szCs w:val="28"/>
                <w:lang w:val="en-US"/>
              </w:rPr>
            </w:pPr>
            <w:r w:rsidRPr="00ED4074">
              <w:rPr>
                <w:rFonts w:ascii="Times New Roman" w:hAnsi="Times New Roman"/>
                <w:sz w:val="28"/>
                <w:szCs w:val="28"/>
                <w:lang w:val="en-US"/>
              </w:rPr>
              <w:t xml:space="preserve">The content of the academic discipline The module “History of Belarusian Literature of the Second Half of the 20th – Early 21st Centuries” is focused on a conceptual scientific understanding of the history of Belarusian literature of the second half of the 20th – early 21st centuries, its ideological and aesthetic movement, national specificity, artistic forms of reflection and worldview, genre and style development trends, a deep understanding of humanistic philosophy and the assimilation of spiritual values ​​that are inherent in the best works of the marked period. In the process of studying the discipline, the student receives information about the complexity, multicolor, variety of styles and originality of the literary process of the marked period, about the stages and directions of development of artistic and worldview systems, the evolution of methods, styles, genre forms; the most important information about the life and creative path of writers; the specific-historical, national and universal significance of works of art. In the process of studying the discipline, the </w:t>
            </w:r>
            <w:proofErr w:type="spellStart"/>
            <w:r w:rsidRPr="00ED4074">
              <w:rPr>
                <w:rFonts w:ascii="Times New Roman" w:hAnsi="Times New Roman"/>
                <w:sz w:val="28"/>
                <w:szCs w:val="28"/>
                <w:lang w:val="en-US"/>
              </w:rPr>
              <w:t>intertext</w:t>
            </w:r>
            <w:proofErr w:type="spellEnd"/>
            <w:r w:rsidRPr="00ED4074">
              <w:rPr>
                <w:rFonts w:ascii="Times New Roman" w:hAnsi="Times New Roman"/>
                <w:sz w:val="28"/>
                <w:szCs w:val="28"/>
                <w:lang w:val="en-US"/>
              </w:rPr>
              <w:t xml:space="preserve"> and cultural </w:t>
            </w:r>
            <w:proofErr w:type="gramStart"/>
            <w:r w:rsidRPr="00ED4074">
              <w:rPr>
                <w:rFonts w:ascii="Times New Roman" w:hAnsi="Times New Roman"/>
                <w:sz w:val="28"/>
                <w:szCs w:val="28"/>
                <w:lang w:val="en-US"/>
              </w:rPr>
              <w:t>context expand</w:t>
            </w:r>
            <w:proofErr w:type="gramEnd"/>
            <w:r w:rsidRPr="00ED4074">
              <w:rPr>
                <w:rFonts w:ascii="Times New Roman" w:hAnsi="Times New Roman"/>
                <w:sz w:val="28"/>
                <w:szCs w:val="28"/>
                <w:lang w:val="en-US"/>
              </w:rPr>
              <w:t xml:space="preserve"> significantly; Belarusian literature appears in its vertical (into the depths of archaism, into mythology) and horizontal (interrelationships with other literatures) connections.</w:t>
            </w:r>
          </w:p>
        </w:tc>
      </w:tr>
    </w:tbl>
    <w:p w:rsidR="00ED4074" w:rsidRDefault="00ED4074" w:rsidP="00ED4074">
      <w:pPr>
        <w:rPr>
          <w:lang w:val="en-US"/>
        </w:rPr>
      </w:pPr>
    </w:p>
    <w:p w:rsidR="00F732C4" w:rsidRPr="00ED4074" w:rsidRDefault="00F732C4" w:rsidP="00F732C4">
      <w:pPr>
        <w:rPr>
          <w:rFonts w:ascii="Times New Roman" w:hAnsi="Times New Roman"/>
          <w:b/>
          <w:sz w:val="28"/>
          <w:szCs w:val="28"/>
          <w:lang w:val="en-US"/>
        </w:rPr>
      </w:pPr>
    </w:p>
    <w:p w:rsidR="007D5E59" w:rsidRPr="00F732C4" w:rsidRDefault="007D5E59">
      <w:pPr>
        <w:rPr>
          <w:lang w:val="be-BY"/>
        </w:rPr>
      </w:pPr>
    </w:p>
    <w:sectPr w:rsidR="007D5E59" w:rsidRPr="00F732C4" w:rsidSect="00036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4"/>
    <w:rsid w:val="00036D05"/>
    <w:rsid w:val="000622DD"/>
    <w:rsid w:val="001979EC"/>
    <w:rsid w:val="0063622C"/>
    <w:rsid w:val="006B344F"/>
    <w:rsid w:val="007D5E59"/>
    <w:rsid w:val="00CF267E"/>
    <w:rsid w:val="00D6069A"/>
    <w:rsid w:val="00EC5160"/>
    <w:rsid w:val="00ED4074"/>
    <w:rsid w:val="00F301BE"/>
    <w:rsid w:val="00F73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C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F7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32C4"/>
    <w:rPr>
      <w:rFonts w:ascii="Courier New" w:hAnsi="Courier New" w:cs="Courier New"/>
      <w:lang w:eastAsia="ru-RU"/>
    </w:rPr>
  </w:style>
  <w:style w:type="table" w:styleId="ae">
    <w:name w:val="Table Grid"/>
    <w:basedOn w:val="a1"/>
    <w:uiPriority w:val="59"/>
    <w:rsid w:val="00ED407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C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F7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32C4"/>
    <w:rPr>
      <w:rFonts w:ascii="Courier New" w:hAnsi="Courier New" w:cs="Courier New"/>
      <w:lang w:eastAsia="ru-RU"/>
    </w:rPr>
  </w:style>
  <w:style w:type="table" w:styleId="ae">
    <w:name w:val="Table Grid"/>
    <w:basedOn w:val="a1"/>
    <w:uiPriority w:val="59"/>
    <w:rsid w:val="00ED407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95646">
      <w:bodyDiv w:val="1"/>
      <w:marLeft w:val="0"/>
      <w:marRight w:val="0"/>
      <w:marTop w:val="0"/>
      <w:marBottom w:val="0"/>
      <w:divBdr>
        <w:top w:val="none" w:sz="0" w:space="0" w:color="auto"/>
        <w:left w:val="none" w:sz="0" w:space="0" w:color="auto"/>
        <w:bottom w:val="none" w:sz="0" w:space="0" w:color="auto"/>
        <w:right w:val="none" w:sz="0" w:space="0" w:color="auto"/>
      </w:divBdr>
    </w:div>
    <w:div w:id="20809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2025-07-18T06:18:00Z</dcterms:created>
  <dcterms:modified xsi:type="dcterms:W3CDTF">2025-07-18T06:18:00Z</dcterms:modified>
</cp:coreProperties>
</file>