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8F1" w:rsidRDefault="00F308F1" w:rsidP="00F308F1">
      <w:pPr>
        <w:jc w:val="center"/>
        <w:rPr>
          <w:b/>
          <w:sz w:val="28"/>
          <w:szCs w:val="28"/>
          <w:lang w:val="en-US"/>
        </w:rPr>
      </w:pPr>
      <w:r>
        <w:rPr>
          <w:b/>
          <w:sz w:val="28"/>
          <w:szCs w:val="28"/>
          <w:lang w:val="en-US"/>
        </w:rPr>
        <w:t>The name of the academic discipline:</w:t>
      </w:r>
    </w:p>
    <w:p w:rsidR="00F308F1" w:rsidRDefault="00F308F1" w:rsidP="00F308F1">
      <w:pPr>
        <w:widowControl w:val="0"/>
        <w:jc w:val="center"/>
        <w:rPr>
          <w:b/>
          <w:sz w:val="28"/>
          <w:szCs w:val="28"/>
          <w:lang w:val="en-US"/>
        </w:rPr>
      </w:pPr>
      <w:r>
        <w:rPr>
          <w:b/>
          <w:sz w:val="28"/>
          <w:szCs w:val="28"/>
          <w:lang w:val="en-US"/>
        </w:rPr>
        <w:t>“</w:t>
      </w:r>
      <w:bookmarkStart w:id="0" w:name="_GoBack"/>
      <w:r w:rsidRPr="00F308F1">
        <w:rPr>
          <w:b/>
          <w:sz w:val="28"/>
          <w:szCs w:val="28"/>
          <w:lang w:val="en-US"/>
        </w:rPr>
        <w:t>Energy Law in the EAEU</w:t>
      </w:r>
      <w:bookmarkEnd w:id="0"/>
      <w:r>
        <w:rPr>
          <w:b/>
          <w:sz w:val="28"/>
          <w:szCs w:val="28"/>
          <w:lang w:val="en-US"/>
        </w:rPr>
        <w:t>”</w:t>
      </w:r>
    </w:p>
    <w:p w:rsidR="00F308F1" w:rsidRDefault="00F308F1" w:rsidP="00F308F1">
      <w:pPr>
        <w:jc w:val="center"/>
        <w:rPr>
          <w:b/>
          <w:color w:val="000000"/>
          <w:sz w:val="28"/>
          <w:szCs w:val="28"/>
          <w:lang w:val="en-US"/>
        </w:rPr>
      </w:pPr>
    </w:p>
    <w:tbl>
      <w:tblPr>
        <w:tblW w:w="957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rStyle w:val="a6"/>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autoSpaceDE w:val="0"/>
              <w:autoSpaceDN w:val="0"/>
              <w:adjustRightInd w:val="0"/>
              <w:rPr>
                <w:color w:val="000000"/>
                <w:sz w:val="28"/>
                <w:szCs w:val="28"/>
                <w:lang w:val="en-US" w:eastAsia="en-US"/>
              </w:rPr>
            </w:pPr>
            <w:r w:rsidRPr="00F308F1">
              <w:rPr>
                <w:color w:val="000000"/>
                <w:sz w:val="28"/>
                <w:szCs w:val="28"/>
              </w:rPr>
              <w:t xml:space="preserve">7-06-0421-01 </w:t>
            </w:r>
            <w:r w:rsidRPr="00F308F1">
              <w:rPr>
                <w:color w:val="000000"/>
                <w:sz w:val="28"/>
                <w:szCs w:val="28"/>
                <w:lang w:val="en-US"/>
              </w:rPr>
              <w:t xml:space="preserve">Jurisprudence </w:t>
            </w:r>
          </w:p>
        </w:tc>
      </w:tr>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eastAsia="en-US"/>
              </w:rPr>
            </w:pPr>
            <w:r w:rsidRPr="00F308F1">
              <w:rPr>
                <w:sz w:val="28"/>
                <w:szCs w:val="28"/>
              </w:rPr>
              <w:t>1</w:t>
            </w:r>
          </w:p>
        </w:tc>
      </w:tr>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eastAsia="en-US"/>
              </w:rPr>
            </w:pPr>
            <w:r>
              <w:rPr>
                <w:sz w:val="28"/>
                <w:szCs w:val="28"/>
              </w:rPr>
              <w:t>2</w:t>
            </w:r>
          </w:p>
        </w:tc>
      </w:tr>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eastAsia="en-US"/>
              </w:rPr>
            </w:pPr>
            <w:r w:rsidRPr="00F308F1">
              <w:rPr>
                <w:sz w:val="28"/>
                <w:szCs w:val="28"/>
              </w:rPr>
              <w:t>2</w:t>
            </w:r>
            <w:r>
              <w:rPr>
                <w:sz w:val="28"/>
                <w:szCs w:val="28"/>
              </w:rPr>
              <w:t>6</w:t>
            </w:r>
          </w:p>
        </w:tc>
      </w:tr>
      <w:tr w:rsidR="00F308F1" w:rsidRPr="00F308F1" w:rsidTr="00F308F1">
        <w:tc>
          <w:tcPr>
            <w:tcW w:w="3358" w:type="dxa"/>
            <w:vMerge w:val="restart"/>
            <w:tcBorders>
              <w:top w:val="single" w:sz="4" w:space="0" w:color="auto"/>
              <w:left w:val="single" w:sz="4" w:space="0" w:color="auto"/>
              <w:bottom w:val="single" w:sz="4" w:space="0" w:color="auto"/>
              <w:right w:val="single" w:sz="4" w:space="0" w:color="auto"/>
            </w:tcBorders>
            <w:hideMark/>
          </w:tcPr>
          <w:p w:rsidR="00F308F1" w:rsidRPr="00F308F1" w:rsidRDefault="00F308F1">
            <w:pPr>
              <w:autoSpaceDE w:val="0"/>
              <w:autoSpaceDN w:val="0"/>
              <w:adjustRightInd w:val="0"/>
              <w:rPr>
                <w:b/>
                <w:color w:val="000000"/>
                <w:sz w:val="28"/>
                <w:szCs w:val="28"/>
                <w:lang w:val="en-US" w:eastAsia="en-US"/>
              </w:rPr>
            </w:pPr>
            <w:r w:rsidRPr="00F308F1">
              <w:rPr>
                <w:b/>
                <w:color w:val="000000"/>
                <w:sz w:val="28"/>
                <w:szCs w:val="28"/>
                <w:lang w:val="en-US"/>
              </w:rPr>
              <w:t>Lectures</w:t>
            </w:r>
          </w:p>
          <w:p w:rsidR="00F308F1" w:rsidRPr="00F308F1" w:rsidRDefault="00F308F1">
            <w:pPr>
              <w:autoSpaceDE w:val="0"/>
              <w:autoSpaceDN w:val="0"/>
              <w:adjustRightInd w:val="0"/>
              <w:rPr>
                <w:rFonts w:eastAsia="Calibri"/>
                <w:b/>
                <w:color w:val="000000"/>
                <w:sz w:val="28"/>
                <w:szCs w:val="28"/>
                <w:lang w:val="en-US"/>
              </w:rPr>
            </w:pPr>
            <w:r w:rsidRPr="00F308F1">
              <w:rPr>
                <w:b/>
                <w:color w:val="000000"/>
                <w:sz w:val="28"/>
                <w:szCs w:val="28"/>
                <w:lang w:val="en-US"/>
              </w:rPr>
              <w:t xml:space="preserve">Seminar classes </w:t>
            </w:r>
          </w:p>
          <w:p w:rsidR="00F308F1" w:rsidRPr="00F308F1" w:rsidRDefault="00F308F1">
            <w:pPr>
              <w:autoSpaceDE w:val="0"/>
              <w:autoSpaceDN w:val="0"/>
              <w:adjustRightInd w:val="0"/>
              <w:rPr>
                <w:rFonts w:eastAsiaTheme="minorHAnsi"/>
                <w:b/>
                <w:color w:val="000000"/>
                <w:sz w:val="28"/>
                <w:szCs w:val="28"/>
                <w:lang w:val="en-US" w:eastAsia="en-US"/>
              </w:rPr>
            </w:pPr>
            <w:r w:rsidRPr="00F308F1">
              <w:rPr>
                <w:b/>
                <w:color w:val="000000"/>
                <w:sz w:val="28"/>
                <w:szCs w:val="28"/>
                <w:lang w:val="en-US"/>
              </w:rPr>
              <w:t>Practical classes</w:t>
            </w:r>
          </w:p>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eastAsia="en-US"/>
              </w:rPr>
            </w:pPr>
            <w:r w:rsidRPr="00F308F1">
              <w:rPr>
                <w:sz w:val="28"/>
                <w:szCs w:val="28"/>
              </w:rPr>
              <w:t>18</w:t>
            </w:r>
          </w:p>
        </w:tc>
      </w:tr>
      <w:tr w:rsidR="00F308F1" w:rsidRPr="00F308F1" w:rsidTr="00F308F1">
        <w:tc>
          <w:tcPr>
            <w:tcW w:w="0" w:type="auto"/>
            <w:vMerge/>
            <w:tcBorders>
              <w:top w:val="single" w:sz="4" w:space="0" w:color="auto"/>
              <w:left w:val="single" w:sz="4" w:space="0" w:color="auto"/>
              <w:bottom w:val="single" w:sz="4" w:space="0" w:color="auto"/>
              <w:right w:val="single" w:sz="4" w:space="0" w:color="auto"/>
            </w:tcBorders>
            <w:vAlign w:val="center"/>
            <w:hideMark/>
          </w:tcPr>
          <w:p w:rsidR="00F308F1" w:rsidRPr="00F308F1" w:rsidRDefault="00F308F1">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rsidP="00F308F1">
            <w:pPr>
              <w:widowControl w:val="0"/>
              <w:rPr>
                <w:sz w:val="28"/>
                <w:szCs w:val="28"/>
                <w:lang w:eastAsia="en-US"/>
              </w:rPr>
            </w:pPr>
            <w:r>
              <w:rPr>
                <w:sz w:val="28"/>
                <w:szCs w:val="28"/>
              </w:rPr>
              <w:t>8</w:t>
            </w:r>
          </w:p>
        </w:tc>
      </w:tr>
      <w:tr w:rsidR="00F308F1" w:rsidRPr="00F308F1" w:rsidTr="00F308F1">
        <w:tc>
          <w:tcPr>
            <w:tcW w:w="0" w:type="auto"/>
            <w:vMerge/>
            <w:tcBorders>
              <w:top w:val="single" w:sz="4" w:space="0" w:color="auto"/>
              <w:left w:val="single" w:sz="4" w:space="0" w:color="auto"/>
              <w:bottom w:val="single" w:sz="4" w:space="0" w:color="auto"/>
              <w:right w:val="single" w:sz="4" w:space="0" w:color="auto"/>
            </w:tcBorders>
            <w:vAlign w:val="center"/>
            <w:hideMark/>
          </w:tcPr>
          <w:p w:rsidR="00F308F1" w:rsidRPr="00F308F1" w:rsidRDefault="00F308F1">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rsidP="00F308F1">
            <w:pPr>
              <w:widowControl w:val="0"/>
              <w:rPr>
                <w:sz w:val="28"/>
                <w:szCs w:val="28"/>
                <w:lang w:eastAsia="en-US"/>
              </w:rPr>
            </w:pPr>
            <w:r>
              <w:rPr>
                <w:sz w:val="28"/>
                <w:szCs w:val="28"/>
              </w:rPr>
              <w:t>-</w:t>
            </w:r>
          </w:p>
        </w:tc>
      </w:tr>
      <w:tr w:rsidR="00F308F1" w:rsidRPr="00F308F1" w:rsidTr="00F308F1">
        <w:tc>
          <w:tcPr>
            <w:tcW w:w="0" w:type="auto"/>
            <w:vMerge/>
            <w:tcBorders>
              <w:top w:val="single" w:sz="4" w:space="0" w:color="auto"/>
              <w:left w:val="single" w:sz="4" w:space="0" w:color="auto"/>
              <w:bottom w:val="single" w:sz="4" w:space="0" w:color="auto"/>
              <w:right w:val="single" w:sz="4" w:space="0" w:color="auto"/>
            </w:tcBorders>
            <w:vAlign w:val="center"/>
            <w:hideMark/>
          </w:tcPr>
          <w:p w:rsidR="00F308F1" w:rsidRPr="00F308F1" w:rsidRDefault="00F308F1">
            <w:pPr>
              <w:rPr>
                <w:b/>
                <w:color w:val="000000"/>
                <w:sz w:val="28"/>
                <w:szCs w:val="28"/>
                <w:lang w:val="en-US" w:eastAsia="en-US"/>
              </w:rPr>
            </w:pP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eastAsia="en-US"/>
              </w:rPr>
            </w:pPr>
            <w:r w:rsidRPr="00F308F1">
              <w:rPr>
                <w:sz w:val="28"/>
                <w:szCs w:val="28"/>
              </w:rPr>
              <w:t>-</w:t>
            </w:r>
          </w:p>
        </w:tc>
      </w:tr>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Form of the current assessment (</w:t>
            </w:r>
            <w:r w:rsidRPr="00F308F1">
              <w:rPr>
                <w:b/>
                <w:i/>
                <w:color w:val="000000"/>
                <w:sz w:val="28"/>
                <w:szCs w:val="28"/>
                <w:lang w:val="en-US"/>
              </w:rPr>
              <w:t>credit/ graded credit /exam</w:t>
            </w:r>
            <w:r w:rsidRPr="00F308F1">
              <w:rPr>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rPr>
                <w:sz w:val="28"/>
                <w:szCs w:val="28"/>
                <w:lang w:val="en-US" w:eastAsia="en-US"/>
              </w:rPr>
            </w:pPr>
            <w:r>
              <w:rPr>
                <w:sz w:val="28"/>
                <w:szCs w:val="28"/>
                <w:lang w:val="en-US"/>
              </w:rPr>
              <w:t>exam</w:t>
            </w:r>
          </w:p>
        </w:tc>
      </w:tr>
      <w:tr w:rsidR="00F308F1" w:rsidRPr="00F308F1"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pPr>
              <w:autoSpaceDE w:val="0"/>
              <w:autoSpaceDN w:val="0"/>
              <w:adjustRightInd w:val="0"/>
              <w:rPr>
                <w:color w:val="000000"/>
                <w:sz w:val="28"/>
                <w:szCs w:val="28"/>
                <w:lang w:eastAsia="en-US"/>
              </w:rPr>
            </w:pPr>
            <w:r w:rsidRPr="00F308F1">
              <w:rPr>
                <w:color w:val="000000"/>
                <w:sz w:val="28"/>
                <w:szCs w:val="28"/>
              </w:rPr>
              <w:t>3</w:t>
            </w:r>
          </w:p>
        </w:tc>
      </w:tr>
      <w:tr w:rsidR="00F308F1" w:rsidRPr="001558AE" w:rsidTr="00F308F1">
        <w:tc>
          <w:tcPr>
            <w:tcW w:w="3358" w:type="dxa"/>
            <w:tcBorders>
              <w:top w:val="single" w:sz="4" w:space="0" w:color="auto"/>
              <w:left w:val="single" w:sz="4" w:space="0" w:color="auto"/>
              <w:bottom w:val="single" w:sz="4" w:space="0" w:color="auto"/>
              <w:right w:val="single" w:sz="4" w:space="0" w:color="auto"/>
            </w:tcBorders>
            <w:hideMark/>
          </w:tcPr>
          <w:p w:rsidR="00F308F1" w:rsidRPr="00F308F1" w:rsidRDefault="00F308F1">
            <w:pPr>
              <w:widowControl w:val="0"/>
              <w:suppressAutoHyphens/>
              <w:autoSpaceDE w:val="0"/>
              <w:autoSpaceDN w:val="0"/>
              <w:adjustRightInd w:val="0"/>
              <w:jc w:val="both"/>
              <w:rPr>
                <w:b/>
                <w:color w:val="000000"/>
                <w:sz w:val="28"/>
                <w:szCs w:val="28"/>
                <w:lang w:val="en-US" w:eastAsia="en-US"/>
              </w:rPr>
            </w:pPr>
            <w:r w:rsidRPr="00F308F1">
              <w:rPr>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F308F1" w:rsidRPr="00F308F1" w:rsidRDefault="00F308F1" w:rsidP="00F308F1">
            <w:pPr>
              <w:tabs>
                <w:tab w:val="left" w:pos="993"/>
                <w:tab w:val="left" w:pos="1134"/>
              </w:tabs>
              <w:autoSpaceDE w:val="0"/>
              <w:autoSpaceDN w:val="0"/>
              <w:adjustRightInd w:val="0"/>
              <w:jc w:val="both"/>
              <w:rPr>
                <w:sz w:val="28"/>
                <w:szCs w:val="28"/>
                <w:lang w:val="en-US" w:eastAsia="en-US"/>
              </w:rPr>
            </w:pPr>
            <w:r w:rsidRPr="001558AE">
              <w:rPr>
                <w:sz w:val="26"/>
                <w:szCs w:val="26"/>
                <w:lang w:val="en-US"/>
              </w:rPr>
              <w:t>SC-9. To use scientific knowledge on the legal support of energy policy in the EAEU and the EAEU member states in order to carry out legal scientific research in the direction of innovative development, ensuring the formation of a common market for energy resources and the introduction of energy-saving technologies.</w:t>
            </w:r>
          </w:p>
        </w:tc>
      </w:tr>
      <w:tr w:rsidR="00F308F1" w:rsidRPr="001558AE" w:rsidTr="00F308F1">
        <w:tc>
          <w:tcPr>
            <w:tcW w:w="9571" w:type="dxa"/>
            <w:gridSpan w:val="2"/>
            <w:tcBorders>
              <w:top w:val="single" w:sz="4" w:space="0" w:color="auto"/>
              <w:left w:val="single" w:sz="4" w:space="0" w:color="auto"/>
              <w:bottom w:val="single" w:sz="4" w:space="0" w:color="auto"/>
              <w:right w:val="single" w:sz="4" w:space="0" w:color="auto"/>
            </w:tcBorders>
            <w:hideMark/>
          </w:tcPr>
          <w:p w:rsidR="00F308F1" w:rsidRDefault="00F308F1">
            <w:pPr>
              <w:autoSpaceDE w:val="0"/>
              <w:autoSpaceDN w:val="0"/>
              <w:adjustRightInd w:val="0"/>
              <w:jc w:val="center"/>
              <w:rPr>
                <w:b/>
                <w:color w:val="000000"/>
                <w:sz w:val="28"/>
                <w:szCs w:val="28"/>
                <w:lang w:val="en-US" w:eastAsia="en-US"/>
              </w:rPr>
            </w:pPr>
            <w:r>
              <w:rPr>
                <w:b/>
                <w:color w:val="000000"/>
                <w:sz w:val="28"/>
                <w:szCs w:val="28"/>
                <w:lang w:val="en-US"/>
              </w:rPr>
              <w:t>Summary of the academic discipline:</w:t>
            </w:r>
          </w:p>
          <w:p w:rsidR="00F308F1" w:rsidRDefault="00F308F1" w:rsidP="00F308F1">
            <w:pPr>
              <w:tabs>
                <w:tab w:val="left" w:pos="851"/>
                <w:tab w:val="left" w:pos="993"/>
              </w:tabs>
              <w:ind w:firstLine="709"/>
              <w:jc w:val="both"/>
              <w:rPr>
                <w:sz w:val="26"/>
                <w:szCs w:val="26"/>
                <w:lang w:val="en-US"/>
              </w:rPr>
            </w:pPr>
            <w:r w:rsidRPr="001558AE">
              <w:rPr>
                <w:sz w:val="26"/>
                <w:szCs w:val="26"/>
                <w:lang w:val="en-US"/>
              </w:rPr>
              <w:t xml:space="preserve">The purpose of studying the discipline "Energy Law in the EAEU" is to develop in students a problematic level of understanding of the nature of public relations in the energy sector within the framework of integration entities, modern trends in the development of legal regulation of energy in the EAEU, knowledge and skills in the field of protecting the rights of participants in these energy legal relations, skills of scientific, pedagogical and research work in this area. </w:t>
            </w:r>
          </w:p>
          <w:p w:rsidR="00F308F1" w:rsidRPr="00F308F1" w:rsidRDefault="00F308F1" w:rsidP="00F308F1">
            <w:pPr>
              <w:tabs>
                <w:tab w:val="left" w:pos="851"/>
                <w:tab w:val="left" w:pos="993"/>
              </w:tabs>
              <w:ind w:firstLine="709"/>
              <w:jc w:val="both"/>
              <w:rPr>
                <w:color w:val="3C4043"/>
                <w:sz w:val="28"/>
                <w:szCs w:val="28"/>
                <w:lang w:val="en-US" w:eastAsia="en-US"/>
              </w:rPr>
            </w:pPr>
            <w:r w:rsidRPr="00F308F1">
              <w:rPr>
                <w:sz w:val="26"/>
                <w:szCs w:val="26"/>
                <w:lang w:val="en-US"/>
              </w:rPr>
              <w:t>The program for studying the discipline "Energy Law in the EAEU" includes: mastering the basic concepts and categories of energy law in the EAEU, the principles of legal regulation of energy within the EAEU; acquiring skills in analyzing, assessing, identifying problems of the energy legislation of the EAEU and formulating proposals for their resolution, including on the basis of an analysis of the law enforcement practice of the EAEU member states; developing the ability to conduct a comparative description of the legislation, doctrine, judicial and other law enforcement practice of the EAEU member states in the field of energy relations, developing practical skills in applying the norms of legislation regulating the relations developing in the energy sector.</w:t>
            </w:r>
          </w:p>
        </w:tc>
      </w:tr>
    </w:tbl>
    <w:p w:rsidR="00F308F1" w:rsidRDefault="00F308F1" w:rsidP="00F308F1">
      <w:pPr>
        <w:rPr>
          <w:rFonts w:eastAsia="Calibri"/>
          <w:sz w:val="28"/>
          <w:szCs w:val="28"/>
          <w:lang w:val="en-US" w:eastAsia="en-US"/>
        </w:rPr>
      </w:pPr>
    </w:p>
    <w:p w:rsidR="00F308F1" w:rsidRPr="00F308F1" w:rsidRDefault="00F308F1">
      <w:pPr>
        <w:rPr>
          <w:lang w:val="en-US"/>
        </w:rPr>
      </w:pPr>
    </w:p>
    <w:sectPr w:rsidR="00F308F1" w:rsidRPr="00F308F1" w:rsidSect="00F308F1">
      <w:pgSz w:w="11906" w:h="16838"/>
      <w:pgMar w:top="1134" w:right="99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00326"/>
    <w:multiLevelType w:val="hybridMultilevel"/>
    <w:tmpl w:val="CD42D7C0"/>
    <w:lvl w:ilvl="0" w:tplc="AFBAF92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1558AE"/>
    <w:rsid w:val="001B009D"/>
    <w:rsid w:val="001C3090"/>
    <w:rsid w:val="00216392"/>
    <w:rsid w:val="004C06F3"/>
    <w:rsid w:val="004F141A"/>
    <w:rsid w:val="005816A6"/>
    <w:rsid w:val="006E43C0"/>
    <w:rsid w:val="00716B80"/>
    <w:rsid w:val="00797A12"/>
    <w:rsid w:val="008A1BD0"/>
    <w:rsid w:val="00910D69"/>
    <w:rsid w:val="00954B21"/>
    <w:rsid w:val="00A9146B"/>
    <w:rsid w:val="00B06979"/>
    <w:rsid w:val="00B767C3"/>
    <w:rsid w:val="00C03E1D"/>
    <w:rsid w:val="00D6775F"/>
    <w:rsid w:val="00E31243"/>
    <w:rsid w:val="00E83049"/>
    <w:rsid w:val="00EB1BD2"/>
    <w:rsid w:val="00F1310A"/>
    <w:rsid w:val="00F308F1"/>
    <w:rsid w:val="00F62A20"/>
    <w:rsid w:val="00FA79B0"/>
    <w:rsid w:val="00FD7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F308F1"/>
    <w:rPr>
      <w:b/>
      <w:bCs/>
    </w:rPr>
  </w:style>
  <w:style w:type="character" w:customStyle="1" w:styleId="rynqvb">
    <w:name w:val="rynqvb"/>
    <w:basedOn w:val="a0"/>
    <w:rsid w:val="00F30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F308F1"/>
    <w:rPr>
      <w:b/>
      <w:bCs/>
    </w:rPr>
  </w:style>
  <w:style w:type="character" w:customStyle="1" w:styleId="rynqvb">
    <w:name w:val="rynqvb"/>
    <w:basedOn w:val="a0"/>
    <w:rsid w:val="00F30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12190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2025-07-24T12:34:00Z</dcterms:created>
  <dcterms:modified xsi:type="dcterms:W3CDTF">2025-07-24T12:34:00Z</dcterms:modified>
</cp:coreProperties>
</file>