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53C" w:rsidRDefault="00D4253C" w:rsidP="00D4253C">
      <w:pPr>
        <w:jc w:val="center"/>
        <w:rPr>
          <w:b/>
          <w:sz w:val="28"/>
          <w:szCs w:val="28"/>
          <w:lang w:val="en-US"/>
        </w:rPr>
      </w:pPr>
      <w:r>
        <w:rPr>
          <w:b/>
          <w:sz w:val="28"/>
          <w:szCs w:val="28"/>
          <w:lang w:val="en-US"/>
        </w:rPr>
        <w:t>The name of the academic discipline:</w:t>
      </w:r>
    </w:p>
    <w:p w:rsidR="00D4253C" w:rsidRDefault="00D4253C" w:rsidP="00D4253C">
      <w:pPr>
        <w:jc w:val="center"/>
        <w:rPr>
          <w:rFonts w:asciiTheme="minorHAnsi" w:hAnsiTheme="minorHAnsi" w:cstheme="minorBidi"/>
          <w:b/>
          <w:sz w:val="28"/>
          <w:szCs w:val="28"/>
          <w:lang w:val="en-US"/>
        </w:rPr>
      </w:pPr>
      <w:r>
        <w:rPr>
          <w:b/>
          <w:sz w:val="28"/>
          <w:szCs w:val="28"/>
          <w:lang w:val="en-US"/>
        </w:rPr>
        <w:t>“</w:t>
      </w:r>
      <w:bookmarkStart w:id="0" w:name="_GoBack"/>
      <w:r w:rsidR="00BA3A2F" w:rsidRPr="002352BE">
        <w:rPr>
          <w:b/>
          <w:sz w:val="28"/>
          <w:szCs w:val="28"/>
          <w:lang w:val="en-US"/>
        </w:rPr>
        <w:t>Reforms and revolutions in the history of Belarus and Russia (XIX - early XX centuries)</w:t>
      </w:r>
      <w:bookmarkEnd w:id="0"/>
      <w:r>
        <w:rPr>
          <w:b/>
          <w:sz w:val="28"/>
          <w:szCs w:val="28"/>
          <w:lang w:val="en-US"/>
        </w:rPr>
        <w:t>”</w:t>
      </w:r>
    </w:p>
    <w:p w:rsidR="00D4253C" w:rsidRDefault="00D4253C" w:rsidP="00D4253C">
      <w:pPr>
        <w:jc w:val="center"/>
        <w:rPr>
          <w:b/>
          <w:color w:val="000000" w:themeColor="text1"/>
          <w:sz w:val="28"/>
          <w:szCs w:val="28"/>
          <w:lang w:val="en-US"/>
        </w:rPr>
      </w:pPr>
    </w:p>
    <w:tbl>
      <w:tblPr>
        <w:tblStyle w:val="a7"/>
        <w:tblW w:w="0" w:type="auto"/>
        <w:tblLook w:val="04A0" w:firstRow="1" w:lastRow="0" w:firstColumn="1" w:lastColumn="0" w:noHBand="0" w:noVBand="1"/>
      </w:tblPr>
      <w:tblGrid>
        <w:gridCol w:w="3227"/>
        <w:gridCol w:w="6343"/>
      </w:tblGrid>
      <w:tr w:rsidR="00D4253C" w:rsidTr="00D4253C">
        <w:tc>
          <w:tcPr>
            <w:tcW w:w="3227" w:type="dxa"/>
            <w:tcBorders>
              <w:top w:val="single" w:sz="4" w:space="0" w:color="auto"/>
              <w:left w:val="single" w:sz="4" w:space="0" w:color="auto"/>
              <w:bottom w:val="single" w:sz="4" w:space="0" w:color="auto"/>
              <w:right w:val="single" w:sz="4" w:space="0" w:color="auto"/>
            </w:tcBorders>
            <w:hideMark/>
          </w:tcPr>
          <w:p w:rsidR="00D4253C" w:rsidRDefault="00D4253C">
            <w:pPr>
              <w:widowControl w:val="0"/>
              <w:suppressAutoHyphens/>
              <w:autoSpaceDN w:val="0"/>
              <w:jc w:val="both"/>
              <w:rPr>
                <w:b/>
                <w:sz w:val="28"/>
                <w:szCs w:val="28"/>
                <w:lang w:val="en-US" w:eastAsia="en-US"/>
              </w:rPr>
            </w:pPr>
            <w:r>
              <w:rPr>
                <w:rStyle w:val="a8"/>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4253C" w:rsidRDefault="00D4253C">
            <w:pPr>
              <w:widowControl w:val="0"/>
              <w:suppressAutoHyphens/>
              <w:autoSpaceDN w:val="0"/>
              <w:rPr>
                <w:sz w:val="28"/>
                <w:szCs w:val="28"/>
                <w:lang w:val="en-US" w:eastAsia="en-US"/>
              </w:rPr>
            </w:pPr>
            <w:r>
              <w:rPr>
                <w:bCs/>
                <w:color w:val="000000"/>
                <w:sz w:val="28"/>
                <w:szCs w:val="28"/>
              </w:rPr>
              <w:t>7</w:t>
            </w:r>
            <w:r>
              <w:rPr>
                <w:bCs/>
                <w:color w:val="000000"/>
                <w:sz w:val="28"/>
                <w:szCs w:val="28"/>
                <w:lang w:val="en-US"/>
              </w:rPr>
              <w:t>-0</w:t>
            </w:r>
            <w:r>
              <w:rPr>
                <w:bCs/>
                <w:color w:val="000000"/>
                <w:sz w:val="28"/>
                <w:szCs w:val="28"/>
              </w:rPr>
              <w:t>6</w:t>
            </w:r>
            <w:r>
              <w:rPr>
                <w:bCs/>
                <w:color w:val="000000"/>
                <w:sz w:val="28"/>
                <w:szCs w:val="28"/>
                <w:lang w:val="en-US"/>
              </w:rPr>
              <w:t>-0</w:t>
            </w:r>
            <w:r>
              <w:rPr>
                <w:bCs/>
                <w:color w:val="000000"/>
                <w:sz w:val="28"/>
                <w:szCs w:val="28"/>
              </w:rPr>
              <w:t>222</w:t>
            </w:r>
            <w:r>
              <w:rPr>
                <w:bCs/>
                <w:color w:val="000000"/>
                <w:sz w:val="28"/>
                <w:szCs w:val="28"/>
                <w:lang w:val="en-US"/>
              </w:rPr>
              <w:t>-0</w:t>
            </w:r>
            <w:r>
              <w:rPr>
                <w:bCs/>
                <w:color w:val="000000"/>
                <w:sz w:val="28"/>
                <w:szCs w:val="28"/>
              </w:rPr>
              <w:t>1</w:t>
            </w:r>
            <w:r>
              <w:rPr>
                <w:bCs/>
                <w:color w:val="000000"/>
                <w:sz w:val="28"/>
                <w:szCs w:val="28"/>
                <w:lang w:val="en-US"/>
              </w:rPr>
              <w:t xml:space="preserve"> History</w:t>
            </w:r>
          </w:p>
        </w:tc>
      </w:tr>
      <w:tr w:rsidR="00D4253C" w:rsidTr="00D4253C">
        <w:tc>
          <w:tcPr>
            <w:tcW w:w="3227" w:type="dxa"/>
            <w:tcBorders>
              <w:top w:val="single" w:sz="4" w:space="0" w:color="auto"/>
              <w:left w:val="single" w:sz="4" w:space="0" w:color="auto"/>
              <w:bottom w:val="single" w:sz="4" w:space="0" w:color="auto"/>
              <w:right w:val="single" w:sz="4" w:space="0" w:color="auto"/>
            </w:tcBorders>
            <w:hideMark/>
          </w:tcPr>
          <w:p w:rsidR="00D4253C" w:rsidRDefault="00D4253C">
            <w:pPr>
              <w:widowControl w:val="0"/>
              <w:suppressAutoHyphens/>
              <w:autoSpaceDN w:val="0"/>
              <w:jc w:val="both"/>
              <w:rPr>
                <w:b/>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4253C" w:rsidRPr="00E339AE" w:rsidRDefault="00D4253C" w:rsidP="005874C6">
            <w:pPr>
              <w:widowControl w:val="0"/>
              <w:jc w:val="both"/>
              <w:rPr>
                <w:sz w:val="28"/>
                <w:szCs w:val="28"/>
              </w:rPr>
            </w:pPr>
            <w:r w:rsidRPr="00E339AE">
              <w:rPr>
                <w:sz w:val="28"/>
                <w:szCs w:val="28"/>
              </w:rPr>
              <w:t>1</w:t>
            </w:r>
          </w:p>
        </w:tc>
      </w:tr>
      <w:tr w:rsidR="00D4253C" w:rsidTr="00D4253C">
        <w:tc>
          <w:tcPr>
            <w:tcW w:w="3227" w:type="dxa"/>
            <w:tcBorders>
              <w:top w:val="single" w:sz="4" w:space="0" w:color="auto"/>
              <w:left w:val="single" w:sz="4" w:space="0" w:color="auto"/>
              <w:bottom w:val="single" w:sz="4" w:space="0" w:color="auto"/>
              <w:right w:val="single" w:sz="4" w:space="0" w:color="auto"/>
            </w:tcBorders>
            <w:hideMark/>
          </w:tcPr>
          <w:p w:rsidR="00D4253C" w:rsidRDefault="00D4253C">
            <w:pPr>
              <w:widowControl w:val="0"/>
              <w:suppressAutoHyphens/>
              <w:autoSpaceDN w:val="0"/>
              <w:jc w:val="both"/>
              <w:rPr>
                <w:b/>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4253C" w:rsidRPr="00E339AE" w:rsidRDefault="00D4253C" w:rsidP="005874C6">
            <w:pPr>
              <w:widowControl w:val="0"/>
              <w:jc w:val="both"/>
              <w:rPr>
                <w:sz w:val="28"/>
                <w:szCs w:val="28"/>
              </w:rPr>
            </w:pPr>
            <w:r>
              <w:rPr>
                <w:sz w:val="28"/>
                <w:szCs w:val="28"/>
              </w:rPr>
              <w:t>1</w:t>
            </w:r>
          </w:p>
        </w:tc>
      </w:tr>
      <w:tr w:rsidR="00D4253C" w:rsidTr="00D4253C">
        <w:tc>
          <w:tcPr>
            <w:tcW w:w="3227" w:type="dxa"/>
            <w:tcBorders>
              <w:top w:val="single" w:sz="4" w:space="0" w:color="auto"/>
              <w:left w:val="single" w:sz="4" w:space="0" w:color="auto"/>
              <w:bottom w:val="single" w:sz="4" w:space="0" w:color="auto"/>
              <w:right w:val="single" w:sz="4" w:space="0" w:color="auto"/>
            </w:tcBorders>
            <w:hideMark/>
          </w:tcPr>
          <w:p w:rsidR="00D4253C" w:rsidRDefault="00D4253C">
            <w:pPr>
              <w:widowControl w:val="0"/>
              <w:suppressAutoHyphens/>
              <w:autoSpaceDN w:val="0"/>
              <w:jc w:val="both"/>
              <w:rPr>
                <w:b/>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D4253C" w:rsidRPr="00E339AE" w:rsidRDefault="00D4253C" w:rsidP="005874C6">
            <w:pPr>
              <w:widowControl w:val="0"/>
              <w:jc w:val="both"/>
              <w:rPr>
                <w:sz w:val="28"/>
                <w:szCs w:val="28"/>
              </w:rPr>
            </w:pPr>
            <w:r>
              <w:rPr>
                <w:sz w:val="28"/>
                <w:szCs w:val="28"/>
              </w:rPr>
              <w:t>56</w:t>
            </w:r>
          </w:p>
        </w:tc>
      </w:tr>
      <w:tr w:rsidR="00D4253C" w:rsidTr="00D4253C">
        <w:tc>
          <w:tcPr>
            <w:tcW w:w="3227" w:type="dxa"/>
            <w:vMerge w:val="restart"/>
            <w:tcBorders>
              <w:top w:val="single" w:sz="4" w:space="0" w:color="auto"/>
              <w:left w:val="single" w:sz="4" w:space="0" w:color="auto"/>
              <w:bottom w:val="single" w:sz="4" w:space="0" w:color="auto"/>
              <w:right w:val="single" w:sz="4" w:space="0" w:color="auto"/>
            </w:tcBorders>
            <w:hideMark/>
          </w:tcPr>
          <w:p w:rsidR="00D4253C" w:rsidRDefault="00D4253C">
            <w:pPr>
              <w:rPr>
                <w:b/>
                <w:sz w:val="28"/>
                <w:szCs w:val="28"/>
                <w:lang w:val="en-US"/>
              </w:rPr>
            </w:pPr>
            <w:r>
              <w:rPr>
                <w:b/>
                <w:sz w:val="28"/>
                <w:szCs w:val="28"/>
                <w:lang w:val="en-US"/>
              </w:rPr>
              <w:t>Lectures</w:t>
            </w:r>
          </w:p>
          <w:p w:rsidR="00D4253C" w:rsidRDefault="00D4253C">
            <w:pPr>
              <w:rPr>
                <w:rFonts w:eastAsiaTheme="minorHAnsi"/>
                <w:b/>
                <w:sz w:val="28"/>
                <w:szCs w:val="28"/>
                <w:lang w:val="en-US"/>
              </w:rPr>
            </w:pPr>
            <w:r>
              <w:rPr>
                <w:b/>
                <w:sz w:val="28"/>
                <w:szCs w:val="28"/>
                <w:lang w:val="en-US"/>
              </w:rPr>
              <w:t xml:space="preserve">Seminar classes </w:t>
            </w:r>
          </w:p>
          <w:p w:rsidR="00D4253C" w:rsidRDefault="00D4253C">
            <w:pPr>
              <w:rPr>
                <w:rFonts w:eastAsia="Calibri"/>
                <w:b/>
                <w:sz w:val="28"/>
                <w:szCs w:val="28"/>
                <w:lang w:val="en-US"/>
              </w:rPr>
            </w:pPr>
            <w:r>
              <w:rPr>
                <w:b/>
                <w:sz w:val="28"/>
                <w:szCs w:val="28"/>
                <w:lang w:val="en-US"/>
              </w:rPr>
              <w:t>Practical classes</w:t>
            </w:r>
          </w:p>
          <w:p w:rsidR="00D4253C" w:rsidRDefault="00D4253C">
            <w:pPr>
              <w:widowControl w:val="0"/>
              <w:suppressAutoHyphens/>
              <w:autoSpaceDN w:val="0"/>
              <w:jc w:val="both"/>
              <w:rPr>
                <w:b/>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4253C" w:rsidRPr="00E339AE" w:rsidRDefault="00D4253C" w:rsidP="005874C6">
            <w:pPr>
              <w:widowControl w:val="0"/>
              <w:jc w:val="both"/>
              <w:rPr>
                <w:sz w:val="28"/>
                <w:szCs w:val="28"/>
              </w:rPr>
            </w:pPr>
            <w:r>
              <w:rPr>
                <w:sz w:val="28"/>
                <w:szCs w:val="28"/>
              </w:rPr>
              <w:t>30</w:t>
            </w:r>
          </w:p>
        </w:tc>
      </w:tr>
      <w:tr w:rsidR="00D4253C" w:rsidTr="00D4253C">
        <w:tc>
          <w:tcPr>
            <w:tcW w:w="0" w:type="auto"/>
            <w:vMerge/>
            <w:tcBorders>
              <w:top w:val="single" w:sz="4" w:space="0" w:color="auto"/>
              <w:left w:val="single" w:sz="4" w:space="0" w:color="auto"/>
              <w:bottom w:val="single" w:sz="4" w:space="0" w:color="auto"/>
              <w:right w:val="single" w:sz="4" w:space="0" w:color="auto"/>
            </w:tcBorders>
            <w:vAlign w:val="center"/>
            <w:hideMark/>
          </w:tcPr>
          <w:p w:rsidR="00D4253C" w:rsidRDefault="00D4253C">
            <w:pPr>
              <w:rPr>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D4253C" w:rsidRPr="00E339AE" w:rsidRDefault="00D4253C" w:rsidP="005874C6">
            <w:pPr>
              <w:widowControl w:val="0"/>
              <w:jc w:val="both"/>
              <w:rPr>
                <w:sz w:val="28"/>
                <w:szCs w:val="28"/>
              </w:rPr>
            </w:pPr>
            <w:r>
              <w:rPr>
                <w:sz w:val="28"/>
                <w:szCs w:val="28"/>
              </w:rPr>
              <w:t>26</w:t>
            </w:r>
          </w:p>
        </w:tc>
      </w:tr>
      <w:tr w:rsidR="00D4253C" w:rsidTr="00D4253C">
        <w:tc>
          <w:tcPr>
            <w:tcW w:w="0" w:type="auto"/>
            <w:vMerge/>
            <w:tcBorders>
              <w:top w:val="single" w:sz="4" w:space="0" w:color="auto"/>
              <w:left w:val="single" w:sz="4" w:space="0" w:color="auto"/>
              <w:bottom w:val="single" w:sz="4" w:space="0" w:color="auto"/>
              <w:right w:val="single" w:sz="4" w:space="0" w:color="auto"/>
            </w:tcBorders>
            <w:vAlign w:val="center"/>
            <w:hideMark/>
          </w:tcPr>
          <w:p w:rsidR="00D4253C" w:rsidRDefault="00D4253C">
            <w:pPr>
              <w:rPr>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D4253C" w:rsidRPr="00E339AE" w:rsidRDefault="00D4253C" w:rsidP="005874C6">
            <w:pPr>
              <w:widowControl w:val="0"/>
              <w:jc w:val="both"/>
              <w:rPr>
                <w:sz w:val="28"/>
                <w:szCs w:val="28"/>
              </w:rPr>
            </w:pPr>
            <w:r>
              <w:rPr>
                <w:sz w:val="28"/>
                <w:szCs w:val="28"/>
              </w:rPr>
              <w:t>-</w:t>
            </w:r>
          </w:p>
        </w:tc>
      </w:tr>
      <w:tr w:rsidR="00D4253C" w:rsidTr="00D4253C">
        <w:tc>
          <w:tcPr>
            <w:tcW w:w="0" w:type="auto"/>
            <w:vMerge/>
            <w:tcBorders>
              <w:top w:val="single" w:sz="4" w:space="0" w:color="auto"/>
              <w:left w:val="single" w:sz="4" w:space="0" w:color="auto"/>
              <w:bottom w:val="single" w:sz="4" w:space="0" w:color="auto"/>
              <w:right w:val="single" w:sz="4" w:space="0" w:color="auto"/>
            </w:tcBorders>
            <w:vAlign w:val="center"/>
            <w:hideMark/>
          </w:tcPr>
          <w:p w:rsidR="00D4253C" w:rsidRDefault="00D4253C">
            <w:pPr>
              <w:rPr>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D4253C" w:rsidRPr="00E339AE" w:rsidRDefault="00D4253C" w:rsidP="005874C6">
            <w:pPr>
              <w:widowControl w:val="0"/>
              <w:jc w:val="both"/>
              <w:rPr>
                <w:sz w:val="28"/>
                <w:szCs w:val="28"/>
              </w:rPr>
            </w:pPr>
            <w:r>
              <w:rPr>
                <w:sz w:val="28"/>
                <w:szCs w:val="28"/>
              </w:rPr>
              <w:t>-</w:t>
            </w:r>
          </w:p>
        </w:tc>
      </w:tr>
      <w:tr w:rsidR="00D4253C" w:rsidTr="00D4253C">
        <w:tc>
          <w:tcPr>
            <w:tcW w:w="3227" w:type="dxa"/>
            <w:tcBorders>
              <w:top w:val="single" w:sz="4" w:space="0" w:color="auto"/>
              <w:left w:val="single" w:sz="4" w:space="0" w:color="auto"/>
              <w:bottom w:val="single" w:sz="4" w:space="0" w:color="auto"/>
              <w:right w:val="single" w:sz="4" w:space="0" w:color="auto"/>
            </w:tcBorders>
            <w:hideMark/>
          </w:tcPr>
          <w:p w:rsidR="00D4253C" w:rsidRDefault="00D4253C">
            <w:pPr>
              <w:widowControl w:val="0"/>
              <w:suppressAutoHyphens/>
              <w:autoSpaceDN w:val="0"/>
              <w:jc w:val="both"/>
              <w:rPr>
                <w:b/>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D4253C" w:rsidRPr="00D4253C" w:rsidRDefault="00D4253C" w:rsidP="005874C6">
            <w:pPr>
              <w:jc w:val="both"/>
              <w:rPr>
                <w:sz w:val="28"/>
                <w:szCs w:val="28"/>
                <w:lang w:val="en-US"/>
              </w:rPr>
            </w:pPr>
            <w:r>
              <w:rPr>
                <w:sz w:val="28"/>
                <w:szCs w:val="28"/>
                <w:lang w:val="en-US"/>
              </w:rPr>
              <w:t>exam</w:t>
            </w:r>
          </w:p>
        </w:tc>
      </w:tr>
      <w:tr w:rsidR="00D4253C" w:rsidTr="00D4253C">
        <w:tc>
          <w:tcPr>
            <w:tcW w:w="3227" w:type="dxa"/>
            <w:tcBorders>
              <w:top w:val="single" w:sz="4" w:space="0" w:color="auto"/>
              <w:left w:val="single" w:sz="4" w:space="0" w:color="auto"/>
              <w:bottom w:val="single" w:sz="4" w:space="0" w:color="auto"/>
              <w:right w:val="single" w:sz="4" w:space="0" w:color="auto"/>
            </w:tcBorders>
            <w:hideMark/>
          </w:tcPr>
          <w:p w:rsidR="00D4253C" w:rsidRDefault="00D4253C">
            <w:pPr>
              <w:widowControl w:val="0"/>
              <w:suppressAutoHyphens/>
              <w:autoSpaceDN w:val="0"/>
              <w:jc w:val="both"/>
              <w:rPr>
                <w:b/>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4253C" w:rsidRDefault="00D4253C">
            <w:pPr>
              <w:widowControl w:val="0"/>
              <w:rPr>
                <w:sz w:val="28"/>
                <w:szCs w:val="28"/>
                <w:lang w:val="en-US" w:eastAsia="en-US"/>
              </w:rPr>
            </w:pPr>
            <w:r>
              <w:rPr>
                <w:sz w:val="28"/>
                <w:szCs w:val="28"/>
                <w:lang w:val="en-US"/>
              </w:rPr>
              <w:t>3</w:t>
            </w:r>
          </w:p>
        </w:tc>
      </w:tr>
      <w:tr w:rsidR="00D4253C" w:rsidRPr="002352BE" w:rsidTr="00D4253C">
        <w:tc>
          <w:tcPr>
            <w:tcW w:w="3227" w:type="dxa"/>
            <w:tcBorders>
              <w:top w:val="single" w:sz="4" w:space="0" w:color="auto"/>
              <w:left w:val="single" w:sz="4" w:space="0" w:color="auto"/>
              <w:bottom w:val="single" w:sz="4" w:space="0" w:color="auto"/>
              <w:right w:val="single" w:sz="4" w:space="0" w:color="auto"/>
            </w:tcBorders>
            <w:hideMark/>
          </w:tcPr>
          <w:p w:rsidR="00D4253C" w:rsidRDefault="00D4253C">
            <w:pPr>
              <w:widowControl w:val="0"/>
              <w:suppressAutoHyphens/>
              <w:autoSpaceDN w:val="0"/>
              <w:jc w:val="both"/>
              <w:rPr>
                <w:b/>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4253C" w:rsidRPr="00D4253C" w:rsidRDefault="00D4253C" w:rsidP="00D4253C">
            <w:pPr>
              <w:widowControl w:val="0"/>
              <w:tabs>
                <w:tab w:val="left" w:pos="9356"/>
              </w:tabs>
              <w:ind w:right="-1" w:firstLine="34"/>
              <w:jc w:val="both"/>
              <w:rPr>
                <w:color w:val="000000"/>
                <w:sz w:val="28"/>
                <w:szCs w:val="28"/>
                <w:lang w:val="en-US" w:eastAsia="en-US"/>
              </w:rPr>
            </w:pPr>
            <w:r w:rsidRPr="002352BE">
              <w:rPr>
                <w:sz w:val="28"/>
                <w:szCs w:val="28"/>
                <w:lang w:val="en-US"/>
              </w:rPr>
              <w:t>To analyze the process of formation of Belarusian statehood, the formation and strengthening of the sovereignty of the Republic of Belarus.</w:t>
            </w:r>
          </w:p>
        </w:tc>
      </w:tr>
      <w:tr w:rsidR="00D4253C" w:rsidRPr="002352BE" w:rsidTr="00D4253C">
        <w:tc>
          <w:tcPr>
            <w:tcW w:w="9570" w:type="dxa"/>
            <w:gridSpan w:val="2"/>
            <w:tcBorders>
              <w:top w:val="single" w:sz="4" w:space="0" w:color="auto"/>
              <w:left w:val="single" w:sz="4" w:space="0" w:color="auto"/>
              <w:bottom w:val="single" w:sz="4" w:space="0" w:color="auto"/>
              <w:right w:val="single" w:sz="4" w:space="0" w:color="auto"/>
            </w:tcBorders>
            <w:hideMark/>
          </w:tcPr>
          <w:p w:rsidR="00D4253C" w:rsidRDefault="00D4253C">
            <w:pPr>
              <w:jc w:val="center"/>
              <w:rPr>
                <w:b/>
                <w:sz w:val="28"/>
                <w:szCs w:val="28"/>
                <w:lang w:val="en-US"/>
              </w:rPr>
            </w:pPr>
            <w:r>
              <w:rPr>
                <w:b/>
                <w:sz w:val="28"/>
                <w:szCs w:val="28"/>
                <w:lang w:val="en-US"/>
              </w:rPr>
              <w:t>Summary of the academic discipline:</w:t>
            </w:r>
          </w:p>
          <w:p w:rsidR="00D4253C" w:rsidRPr="00D4253C" w:rsidRDefault="00D4253C" w:rsidP="00D4253C">
            <w:pPr>
              <w:ind w:firstLine="709"/>
              <w:jc w:val="both"/>
              <w:rPr>
                <w:color w:val="3C4043"/>
                <w:sz w:val="28"/>
                <w:szCs w:val="28"/>
                <w:lang w:val="en-US" w:eastAsia="en-US"/>
              </w:rPr>
            </w:pPr>
            <w:r w:rsidRPr="002352BE">
              <w:rPr>
                <w:sz w:val="28"/>
                <w:szCs w:val="28"/>
                <w:lang w:val="en-US"/>
              </w:rPr>
              <w:t>Reforms of Alexander I. The course towards strengthening the autocracy under Nicholas I. Reforms in the Polish-Lithuanian Commonwealth, Russia and Austria: changes in the situation of Ukrainian lands in the 17th – first half of the 19th century. The “great” reforms of the 1860s–1870s. Counter-reforms of Alexander III. The course towards modernization at the turn of the 19th – 20th centuries. The revolution of 1905–1907 and its significance. The October Revolution of 1917 and the first transformations of the Soviet government. The February Revolution of 1917. The reform program of P.A. Stolypin and its implementation. The influence of the First World War on the evolution of the internal life of the Russian Empire.</w:t>
            </w:r>
          </w:p>
        </w:tc>
      </w:tr>
    </w:tbl>
    <w:p w:rsidR="00D4253C" w:rsidRDefault="00D4253C" w:rsidP="00D4253C">
      <w:pPr>
        <w:rPr>
          <w:sz w:val="28"/>
          <w:szCs w:val="28"/>
          <w:lang w:val="en-US" w:eastAsia="en-US"/>
        </w:rPr>
      </w:pPr>
    </w:p>
    <w:p w:rsidR="00910D69" w:rsidRPr="00D4253C" w:rsidRDefault="00910D69">
      <w:pPr>
        <w:rPr>
          <w:sz w:val="28"/>
          <w:szCs w:val="28"/>
          <w:lang w:val="en-US"/>
        </w:rPr>
      </w:pPr>
    </w:p>
    <w:p w:rsidR="00E339AE" w:rsidRPr="00D4253C" w:rsidRDefault="00E339AE">
      <w:pPr>
        <w:rPr>
          <w:sz w:val="28"/>
          <w:szCs w:val="28"/>
          <w:lang w:val="en-US"/>
        </w:rPr>
      </w:pPr>
    </w:p>
    <w:p w:rsidR="00E339AE" w:rsidRPr="00D4253C" w:rsidRDefault="00E339AE" w:rsidP="00E339AE">
      <w:pPr>
        <w:jc w:val="center"/>
        <w:rPr>
          <w:b/>
          <w:lang w:val="en-US"/>
        </w:rPr>
      </w:pPr>
    </w:p>
    <w:sectPr w:rsidR="00E339AE" w:rsidRPr="00D4253C" w:rsidSect="000B58B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0B58B5"/>
    <w:rsid w:val="002352BE"/>
    <w:rsid w:val="002B083C"/>
    <w:rsid w:val="004C06F3"/>
    <w:rsid w:val="005C71A1"/>
    <w:rsid w:val="005E7BCD"/>
    <w:rsid w:val="006E43C0"/>
    <w:rsid w:val="00716B80"/>
    <w:rsid w:val="007630EA"/>
    <w:rsid w:val="008872D7"/>
    <w:rsid w:val="00910D69"/>
    <w:rsid w:val="00AB0D8F"/>
    <w:rsid w:val="00BA3A2F"/>
    <w:rsid w:val="00D4253C"/>
    <w:rsid w:val="00E339AE"/>
    <w:rsid w:val="00E83049"/>
    <w:rsid w:val="00EB1BD2"/>
    <w:rsid w:val="00ED1275"/>
    <w:rsid w:val="00FA7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customStyle="1" w:styleId="a6">
    <w:name w:val="Îáû÷íûé"/>
    <w:rsid w:val="00D4253C"/>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table" w:styleId="a7">
    <w:name w:val="Table Grid"/>
    <w:basedOn w:val="a1"/>
    <w:uiPriority w:val="59"/>
    <w:rsid w:val="00D4253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4253C"/>
    <w:rPr>
      <w:b/>
      <w:bCs/>
    </w:rPr>
  </w:style>
  <w:style w:type="character" w:customStyle="1" w:styleId="rynqvb">
    <w:name w:val="rynqvb"/>
    <w:basedOn w:val="a0"/>
    <w:rsid w:val="00D425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customStyle="1" w:styleId="a6">
    <w:name w:val="Îáû÷íûé"/>
    <w:rsid w:val="00D4253C"/>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table" w:styleId="a7">
    <w:name w:val="Table Grid"/>
    <w:basedOn w:val="a1"/>
    <w:uiPriority w:val="59"/>
    <w:rsid w:val="00D4253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4253C"/>
    <w:rPr>
      <w:b/>
      <w:bCs/>
    </w:rPr>
  </w:style>
  <w:style w:type="character" w:customStyle="1" w:styleId="rynqvb">
    <w:name w:val="rynqvb"/>
    <w:basedOn w:val="a0"/>
    <w:rsid w:val="00D4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6372">
      <w:bodyDiv w:val="1"/>
      <w:marLeft w:val="0"/>
      <w:marRight w:val="0"/>
      <w:marTop w:val="0"/>
      <w:marBottom w:val="0"/>
      <w:divBdr>
        <w:top w:val="none" w:sz="0" w:space="0" w:color="auto"/>
        <w:left w:val="none" w:sz="0" w:space="0" w:color="auto"/>
        <w:bottom w:val="none" w:sz="0" w:space="0" w:color="auto"/>
        <w:right w:val="none" w:sz="0" w:space="0" w:color="auto"/>
      </w:divBdr>
    </w:div>
    <w:div w:id="17817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2025-07-24T08:35:00Z</dcterms:created>
  <dcterms:modified xsi:type="dcterms:W3CDTF">2025-07-24T08:35:00Z</dcterms:modified>
</cp:coreProperties>
</file>