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105" w:rsidRDefault="006A1105" w:rsidP="006A110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6A1105" w:rsidRDefault="006A1105" w:rsidP="006A1105">
      <w:pPr>
        <w:spacing w:after="0" w:line="240" w:lineRule="auto"/>
        <w:jc w:val="center"/>
        <w:rPr>
          <w:b/>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Modernization Processes in Belarus</w:t>
      </w:r>
      <w:bookmarkEnd w:id="0"/>
      <w:r>
        <w:rPr>
          <w:b/>
        </w:rPr>
        <w:t>”</w:t>
      </w:r>
    </w:p>
    <w:p w:rsidR="006A1105" w:rsidRDefault="006A1105" w:rsidP="006A1105">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6A1105" w:rsidRPr="006A1105" w:rsidTr="006A1105">
        <w:tc>
          <w:tcPr>
            <w:tcW w:w="3227" w:type="dxa"/>
            <w:tcBorders>
              <w:top w:val="single" w:sz="4" w:space="0" w:color="auto"/>
              <w:left w:val="single" w:sz="4" w:space="0" w:color="auto"/>
              <w:bottom w:val="single" w:sz="4" w:space="0" w:color="auto"/>
              <w:right w:val="single" w:sz="4" w:space="0" w:color="auto"/>
            </w:tcBorders>
            <w:hideMark/>
          </w:tcPr>
          <w:p w:rsidR="006A1105" w:rsidRPr="006A1105" w:rsidRDefault="006A1105">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6A1105">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A1105" w:rsidRPr="006A1105" w:rsidRDefault="006A1105">
            <w:pPr>
              <w:widowControl w:val="0"/>
              <w:suppressAutoHyphens/>
              <w:autoSpaceDN w:val="0"/>
              <w:spacing w:after="0" w:line="240" w:lineRule="auto"/>
              <w:rPr>
                <w:rFonts w:ascii="Times New Roman" w:eastAsia="Times New Roman" w:hAnsi="Times New Roman" w:cs="Times New Roman"/>
                <w:kern w:val="2"/>
                <w:sz w:val="28"/>
                <w:szCs w:val="28"/>
                <w:lang w:val="en-US"/>
              </w:rPr>
            </w:pPr>
            <w:r w:rsidRPr="006A1105">
              <w:rPr>
                <w:rFonts w:ascii="Times New Roman" w:hAnsi="Times New Roman" w:cs="Times New Roman"/>
                <w:bCs/>
                <w:color w:val="000000"/>
                <w:sz w:val="28"/>
                <w:szCs w:val="28"/>
              </w:rPr>
              <w:t>7</w:t>
            </w:r>
            <w:r w:rsidRPr="006A1105">
              <w:rPr>
                <w:rFonts w:ascii="Times New Roman" w:hAnsi="Times New Roman" w:cs="Times New Roman"/>
                <w:bCs/>
                <w:color w:val="000000"/>
                <w:sz w:val="28"/>
                <w:szCs w:val="28"/>
                <w:lang w:val="en-US"/>
              </w:rPr>
              <w:t>-0</w:t>
            </w:r>
            <w:r w:rsidRPr="006A1105">
              <w:rPr>
                <w:rFonts w:ascii="Times New Roman" w:hAnsi="Times New Roman" w:cs="Times New Roman"/>
                <w:bCs/>
                <w:color w:val="000000"/>
                <w:sz w:val="28"/>
                <w:szCs w:val="28"/>
              </w:rPr>
              <w:t>6</w:t>
            </w:r>
            <w:r w:rsidRPr="006A1105">
              <w:rPr>
                <w:rFonts w:ascii="Times New Roman" w:hAnsi="Times New Roman" w:cs="Times New Roman"/>
                <w:bCs/>
                <w:color w:val="000000"/>
                <w:sz w:val="28"/>
                <w:szCs w:val="28"/>
                <w:lang w:val="en-US"/>
              </w:rPr>
              <w:t>-0</w:t>
            </w:r>
            <w:r w:rsidRPr="006A1105">
              <w:rPr>
                <w:rFonts w:ascii="Times New Roman" w:hAnsi="Times New Roman" w:cs="Times New Roman"/>
                <w:bCs/>
                <w:color w:val="000000"/>
                <w:sz w:val="28"/>
                <w:szCs w:val="28"/>
              </w:rPr>
              <w:t>222</w:t>
            </w:r>
            <w:r w:rsidRPr="006A1105">
              <w:rPr>
                <w:rFonts w:ascii="Times New Roman" w:hAnsi="Times New Roman" w:cs="Times New Roman"/>
                <w:bCs/>
                <w:color w:val="000000"/>
                <w:sz w:val="28"/>
                <w:szCs w:val="28"/>
                <w:lang w:val="en-US"/>
              </w:rPr>
              <w:t>-0</w:t>
            </w:r>
            <w:r w:rsidRPr="006A1105">
              <w:rPr>
                <w:rFonts w:ascii="Times New Roman" w:hAnsi="Times New Roman" w:cs="Times New Roman"/>
                <w:bCs/>
                <w:color w:val="000000"/>
                <w:sz w:val="28"/>
                <w:szCs w:val="28"/>
              </w:rPr>
              <w:t>1</w:t>
            </w:r>
            <w:r w:rsidRPr="006A1105">
              <w:rPr>
                <w:rFonts w:ascii="Times New Roman" w:hAnsi="Times New Roman" w:cs="Times New Roman"/>
                <w:bCs/>
                <w:color w:val="000000"/>
                <w:sz w:val="28"/>
                <w:szCs w:val="28"/>
                <w:lang w:val="en-US"/>
              </w:rPr>
              <w:t xml:space="preserve"> History</w:t>
            </w:r>
          </w:p>
        </w:tc>
      </w:tr>
      <w:tr w:rsidR="006A1105" w:rsidTr="006A1105">
        <w:tc>
          <w:tcPr>
            <w:tcW w:w="3227" w:type="dxa"/>
            <w:tcBorders>
              <w:top w:val="single" w:sz="4" w:space="0" w:color="auto"/>
              <w:left w:val="single" w:sz="4" w:space="0" w:color="auto"/>
              <w:bottom w:val="single" w:sz="4" w:space="0" w:color="auto"/>
              <w:right w:val="single" w:sz="4" w:space="0" w:color="auto"/>
            </w:tcBorders>
            <w:hideMark/>
          </w:tcPr>
          <w:p w:rsidR="006A1105" w:rsidRDefault="006A1105">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A1105" w:rsidRDefault="006A1105">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6A1105" w:rsidTr="006A1105">
        <w:tc>
          <w:tcPr>
            <w:tcW w:w="3227" w:type="dxa"/>
            <w:tcBorders>
              <w:top w:val="single" w:sz="4" w:space="0" w:color="auto"/>
              <w:left w:val="single" w:sz="4" w:space="0" w:color="auto"/>
              <w:bottom w:val="single" w:sz="4" w:space="0" w:color="auto"/>
              <w:right w:val="single" w:sz="4" w:space="0" w:color="auto"/>
            </w:tcBorders>
            <w:hideMark/>
          </w:tcPr>
          <w:p w:rsidR="006A1105" w:rsidRDefault="006A1105">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A1105" w:rsidRDefault="006A1105">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6A1105" w:rsidTr="006A1105">
        <w:tc>
          <w:tcPr>
            <w:tcW w:w="3227" w:type="dxa"/>
            <w:tcBorders>
              <w:top w:val="single" w:sz="4" w:space="0" w:color="auto"/>
              <w:left w:val="single" w:sz="4" w:space="0" w:color="auto"/>
              <w:bottom w:val="single" w:sz="4" w:space="0" w:color="auto"/>
              <w:right w:val="single" w:sz="4" w:space="0" w:color="auto"/>
            </w:tcBorders>
            <w:hideMark/>
          </w:tcPr>
          <w:p w:rsidR="006A1105" w:rsidRDefault="006A1105">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6A1105" w:rsidRDefault="006A1105">
            <w:pPr>
              <w:spacing w:after="0" w:line="240" w:lineRule="auto"/>
              <w:rPr>
                <w:rFonts w:ascii="Times New Roman" w:hAnsi="Times New Roman" w:cs="Times New Roman"/>
                <w:sz w:val="28"/>
                <w:szCs w:val="28"/>
              </w:rPr>
            </w:pPr>
            <w:r>
              <w:rPr>
                <w:rFonts w:ascii="Times New Roman" w:hAnsi="Times New Roman" w:cs="Times New Roman"/>
                <w:sz w:val="28"/>
                <w:szCs w:val="28"/>
              </w:rPr>
              <w:t>50</w:t>
            </w:r>
          </w:p>
        </w:tc>
      </w:tr>
      <w:tr w:rsidR="006A1105" w:rsidTr="006A1105">
        <w:tc>
          <w:tcPr>
            <w:tcW w:w="3227" w:type="dxa"/>
            <w:vMerge w:val="restart"/>
            <w:tcBorders>
              <w:top w:val="single" w:sz="4" w:space="0" w:color="auto"/>
              <w:left w:val="single" w:sz="4" w:space="0" w:color="auto"/>
              <w:bottom w:val="single" w:sz="4" w:space="0" w:color="auto"/>
              <w:right w:val="single" w:sz="4" w:space="0" w:color="auto"/>
            </w:tcBorders>
            <w:hideMark/>
          </w:tcPr>
          <w:p w:rsidR="006A1105" w:rsidRDefault="006A1105">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6A1105" w:rsidRDefault="006A110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6A1105" w:rsidRDefault="006A1105">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6A1105" w:rsidRDefault="006A1105">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A1105" w:rsidRDefault="006A1105">
            <w:pPr>
              <w:spacing w:after="0" w:line="240" w:lineRule="auto"/>
              <w:rPr>
                <w:rFonts w:ascii="Times New Roman" w:hAnsi="Times New Roman" w:cs="Times New Roman"/>
                <w:sz w:val="28"/>
                <w:szCs w:val="28"/>
              </w:rPr>
            </w:pPr>
            <w:r>
              <w:rPr>
                <w:rFonts w:ascii="Times New Roman" w:hAnsi="Times New Roman" w:cs="Times New Roman"/>
                <w:sz w:val="28"/>
                <w:szCs w:val="28"/>
              </w:rPr>
              <w:t>26</w:t>
            </w:r>
          </w:p>
        </w:tc>
      </w:tr>
      <w:tr w:rsidR="006A1105" w:rsidTr="006A1105">
        <w:tc>
          <w:tcPr>
            <w:tcW w:w="0" w:type="auto"/>
            <w:vMerge/>
            <w:tcBorders>
              <w:top w:val="single" w:sz="4" w:space="0" w:color="auto"/>
              <w:left w:val="single" w:sz="4" w:space="0" w:color="auto"/>
              <w:bottom w:val="single" w:sz="4" w:space="0" w:color="auto"/>
              <w:right w:val="single" w:sz="4" w:space="0" w:color="auto"/>
            </w:tcBorders>
            <w:vAlign w:val="center"/>
            <w:hideMark/>
          </w:tcPr>
          <w:p w:rsidR="006A1105" w:rsidRDefault="006A1105">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A1105" w:rsidRDefault="006A1105">
            <w:pPr>
              <w:spacing w:after="0" w:line="240" w:lineRule="auto"/>
              <w:rPr>
                <w:rFonts w:ascii="Times New Roman" w:hAnsi="Times New Roman" w:cs="Times New Roman"/>
                <w:sz w:val="28"/>
                <w:szCs w:val="28"/>
              </w:rPr>
            </w:pPr>
            <w:r>
              <w:rPr>
                <w:rFonts w:ascii="Times New Roman" w:hAnsi="Times New Roman" w:cs="Times New Roman"/>
                <w:sz w:val="28"/>
                <w:szCs w:val="28"/>
              </w:rPr>
              <w:t>24</w:t>
            </w:r>
          </w:p>
        </w:tc>
      </w:tr>
      <w:tr w:rsidR="006A1105" w:rsidTr="006A1105">
        <w:tc>
          <w:tcPr>
            <w:tcW w:w="0" w:type="auto"/>
            <w:vMerge/>
            <w:tcBorders>
              <w:top w:val="single" w:sz="4" w:space="0" w:color="auto"/>
              <w:left w:val="single" w:sz="4" w:space="0" w:color="auto"/>
              <w:bottom w:val="single" w:sz="4" w:space="0" w:color="auto"/>
              <w:right w:val="single" w:sz="4" w:space="0" w:color="auto"/>
            </w:tcBorders>
            <w:vAlign w:val="center"/>
            <w:hideMark/>
          </w:tcPr>
          <w:p w:rsidR="006A1105" w:rsidRDefault="006A1105">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A1105" w:rsidRDefault="006A1105">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A1105" w:rsidTr="006A1105">
        <w:tc>
          <w:tcPr>
            <w:tcW w:w="0" w:type="auto"/>
            <w:vMerge/>
            <w:tcBorders>
              <w:top w:val="single" w:sz="4" w:space="0" w:color="auto"/>
              <w:left w:val="single" w:sz="4" w:space="0" w:color="auto"/>
              <w:bottom w:val="single" w:sz="4" w:space="0" w:color="auto"/>
              <w:right w:val="single" w:sz="4" w:space="0" w:color="auto"/>
            </w:tcBorders>
            <w:vAlign w:val="center"/>
            <w:hideMark/>
          </w:tcPr>
          <w:p w:rsidR="006A1105" w:rsidRDefault="006A1105">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A1105" w:rsidRDefault="006A1105">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A1105" w:rsidTr="006A1105">
        <w:tc>
          <w:tcPr>
            <w:tcW w:w="3227" w:type="dxa"/>
            <w:tcBorders>
              <w:top w:val="single" w:sz="4" w:space="0" w:color="auto"/>
              <w:left w:val="single" w:sz="4" w:space="0" w:color="auto"/>
              <w:bottom w:val="single" w:sz="4" w:space="0" w:color="auto"/>
              <w:right w:val="single" w:sz="4" w:space="0" w:color="auto"/>
            </w:tcBorders>
            <w:hideMark/>
          </w:tcPr>
          <w:p w:rsidR="006A1105" w:rsidRDefault="006A1105">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6A1105" w:rsidRDefault="006A110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6A1105" w:rsidTr="006A1105">
        <w:tc>
          <w:tcPr>
            <w:tcW w:w="3227" w:type="dxa"/>
            <w:tcBorders>
              <w:top w:val="single" w:sz="4" w:space="0" w:color="auto"/>
              <w:left w:val="single" w:sz="4" w:space="0" w:color="auto"/>
              <w:bottom w:val="single" w:sz="4" w:space="0" w:color="auto"/>
              <w:right w:val="single" w:sz="4" w:space="0" w:color="auto"/>
            </w:tcBorders>
            <w:hideMark/>
          </w:tcPr>
          <w:p w:rsidR="006A1105" w:rsidRDefault="006A1105">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A1105" w:rsidRDefault="006A1105">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6A1105" w:rsidRPr="00D05649" w:rsidTr="006A1105">
        <w:tc>
          <w:tcPr>
            <w:tcW w:w="3227" w:type="dxa"/>
            <w:tcBorders>
              <w:top w:val="single" w:sz="4" w:space="0" w:color="auto"/>
              <w:left w:val="single" w:sz="4" w:space="0" w:color="auto"/>
              <w:bottom w:val="single" w:sz="4" w:space="0" w:color="auto"/>
              <w:right w:val="single" w:sz="4" w:space="0" w:color="auto"/>
            </w:tcBorders>
            <w:hideMark/>
          </w:tcPr>
          <w:p w:rsidR="006A1105" w:rsidRDefault="006A1105">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6A1105" w:rsidRPr="006A1105" w:rsidRDefault="006A1105">
            <w:pPr>
              <w:spacing w:after="0" w:line="240" w:lineRule="auto"/>
              <w:jc w:val="both"/>
              <w:rPr>
                <w:rFonts w:ascii="Times New Roman" w:eastAsia="Times New Roman" w:hAnsi="Times New Roman" w:cs="Times New Roman"/>
                <w:color w:val="000000"/>
                <w:kern w:val="2"/>
                <w:sz w:val="28"/>
                <w:szCs w:val="28"/>
                <w:lang w:val="en-US"/>
              </w:rPr>
            </w:pPr>
            <w:r w:rsidRPr="006A1105">
              <w:rPr>
                <w:rFonts w:ascii="Times New Roman" w:hAnsi="Times New Roman" w:cs="Times New Roman"/>
                <w:sz w:val="28"/>
                <w:szCs w:val="28"/>
                <w:lang w:val="be-BY"/>
              </w:rPr>
              <w:t>To analyze key political and economic processes of the studied countries and regions in historical retrospect; to systematize and classify social and ethnocultural processes, to explain their influence on the historical development of society; to interpret socially significant processes and problems on the territory of Belarus in different periods of its historical development.</w:t>
            </w:r>
          </w:p>
        </w:tc>
      </w:tr>
      <w:tr w:rsidR="006A1105" w:rsidRPr="00D05649" w:rsidTr="006A1105">
        <w:tc>
          <w:tcPr>
            <w:tcW w:w="9570" w:type="dxa"/>
            <w:gridSpan w:val="2"/>
            <w:tcBorders>
              <w:top w:val="single" w:sz="4" w:space="0" w:color="auto"/>
              <w:left w:val="single" w:sz="4" w:space="0" w:color="auto"/>
              <w:bottom w:val="single" w:sz="4" w:space="0" w:color="auto"/>
              <w:right w:val="single" w:sz="4" w:space="0" w:color="auto"/>
            </w:tcBorders>
            <w:hideMark/>
          </w:tcPr>
          <w:p w:rsidR="006A1105" w:rsidRDefault="006A1105">
            <w:pPr>
              <w:spacing w:after="0" w:line="240" w:lineRule="auto"/>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6A1105" w:rsidRPr="006A1105" w:rsidRDefault="006A1105">
            <w:pPr>
              <w:spacing w:after="0" w:line="240" w:lineRule="auto"/>
              <w:ind w:firstLine="714"/>
              <w:jc w:val="both"/>
              <w:rPr>
                <w:rFonts w:ascii="Times New Roman" w:eastAsia="Times New Roman" w:hAnsi="Times New Roman" w:cs="Times New Roman"/>
                <w:color w:val="3C4043"/>
                <w:sz w:val="28"/>
                <w:szCs w:val="28"/>
                <w:lang w:val="en-US"/>
              </w:rPr>
            </w:pPr>
            <w:r w:rsidRPr="00D05649">
              <w:rPr>
                <w:rFonts w:ascii="Times New Roman" w:hAnsi="Times New Roman" w:cs="Times New Roman"/>
                <w:sz w:val="28"/>
                <w:szCs w:val="28"/>
                <w:lang w:val="en-US"/>
              </w:rPr>
              <w:t>The academic discipline belongs to the cycle of disciplines of the component of the institution of higher education, the module "Socio-economic processes of Belarus". The purpose of the academic discipline is to consider the diversity of modernization processes in the history of Belarus in the context of the main trends of its socio-political, socio-economic and cultural development.</w:t>
            </w:r>
          </w:p>
        </w:tc>
      </w:tr>
    </w:tbl>
    <w:p w:rsidR="006A1105" w:rsidRDefault="006A1105" w:rsidP="006A1105">
      <w:pPr>
        <w:spacing w:after="0" w:line="240" w:lineRule="auto"/>
        <w:rPr>
          <w:rFonts w:ascii="Times New Roman" w:eastAsia="Times New Roman" w:hAnsi="Times New Roman" w:cs="Times New Roman"/>
          <w:sz w:val="28"/>
          <w:szCs w:val="28"/>
          <w:lang w:val="en-US"/>
        </w:rPr>
      </w:pPr>
    </w:p>
    <w:p w:rsidR="006A1105" w:rsidRDefault="006A1105" w:rsidP="006A1105">
      <w:pPr>
        <w:spacing w:after="0" w:line="240" w:lineRule="auto"/>
        <w:rPr>
          <w:lang w:val="en-US"/>
        </w:rPr>
      </w:pPr>
    </w:p>
    <w:p w:rsidR="007D2DEF" w:rsidRPr="006A1105" w:rsidRDefault="007D2DEF" w:rsidP="007D2DEF">
      <w:pPr>
        <w:spacing w:after="0" w:line="240" w:lineRule="auto"/>
        <w:rPr>
          <w:rFonts w:ascii="Times New Roman" w:hAnsi="Times New Roman" w:cs="Times New Roman"/>
          <w:sz w:val="28"/>
          <w:szCs w:val="28"/>
          <w:lang w:val="en-US"/>
        </w:rPr>
      </w:pPr>
    </w:p>
    <w:p w:rsidR="007D2DEF" w:rsidRPr="006A1105" w:rsidRDefault="007D2DEF" w:rsidP="007D2DEF">
      <w:pPr>
        <w:spacing w:after="0" w:line="240" w:lineRule="auto"/>
        <w:rPr>
          <w:rFonts w:ascii="Times New Roman" w:hAnsi="Times New Roman" w:cs="Times New Roman"/>
          <w:sz w:val="28"/>
          <w:szCs w:val="28"/>
          <w:lang w:val="en-US"/>
        </w:rPr>
      </w:pPr>
    </w:p>
    <w:p w:rsidR="00067425" w:rsidRPr="006A1105" w:rsidRDefault="00067425" w:rsidP="007D2DEF">
      <w:pPr>
        <w:spacing w:after="0" w:line="240" w:lineRule="auto"/>
        <w:rPr>
          <w:rFonts w:ascii="Times New Roman" w:hAnsi="Times New Roman" w:cs="Times New Roman"/>
          <w:sz w:val="28"/>
          <w:szCs w:val="28"/>
          <w:lang w:val="en-US"/>
        </w:rPr>
      </w:pPr>
    </w:p>
    <w:sectPr w:rsidR="00067425" w:rsidRPr="006A1105" w:rsidSect="00F113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048B2"/>
    <w:multiLevelType w:val="multilevel"/>
    <w:tmpl w:val="1354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DEF"/>
    <w:rsid w:val="00067425"/>
    <w:rsid w:val="006A1105"/>
    <w:rsid w:val="007D2DEF"/>
    <w:rsid w:val="00D05649"/>
    <w:rsid w:val="00E93848"/>
    <w:rsid w:val="00F11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D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A1105"/>
    <w:rPr>
      <w:b/>
      <w:bCs/>
    </w:rPr>
  </w:style>
  <w:style w:type="character" w:customStyle="1" w:styleId="rynqvb">
    <w:name w:val="rynqvb"/>
    <w:basedOn w:val="a0"/>
    <w:rsid w:val="006A11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D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A1105"/>
    <w:rPr>
      <w:b/>
      <w:bCs/>
    </w:rPr>
  </w:style>
  <w:style w:type="character" w:customStyle="1" w:styleId="rynqvb">
    <w:name w:val="rynqvb"/>
    <w:basedOn w:val="a0"/>
    <w:rsid w:val="006A1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6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2025-07-24T08:32:00Z</dcterms:created>
  <dcterms:modified xsi:type="dcterms:W3CDTF">2025-07-24T08:32:00Z</dcterms:modified>
</cp:coreProperties>
</file>